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A1DC" w14:textId="56FC5BC8" w:rsidR="00515190" w:rsidRPr="00C8275E" w:rsidRDefault="00855C2D">
      <w:pPr>
        <w:rPr>
          <w:lang w:val="en-US"/>
        </w:rPr>
      </w:pPr>
      <w:r>
        <w:rPr>
          <w:lang w:val="en-US"/>
        </w:rPr>
        <w:t xml:space="preserve">Probabilistic assignment </w:t>
      </w:r>
      <w:r w:rsidR="00B44BDE">
        <w:rPr>
          <w:lang w:val="en-US"/>
        </w:rPr>
        <w:t xml:space="preserve">of variants </w:t>
      </w:r>
      <w:r>
        <w:rPr>
          <w:lang w:val="en-US"/>
        </w:rPr>
        <w:t xml:space="preserve">into </w:t>
      </w:r>
      <w:r w:rsidR="004A3870">
        <w:rPr>
          <w:lang w:val="en-US"/>
        </w:rPr>
        <w:t xml:space="preserve">infection </w:t>
      </w:r>
      <w:r w:rsidR="0026108B">
        <w:rPr>
          <w:lang w:val="en-US"/>
        </w:rPr>
        <w:t xml:space="preserve">susceptibility vs. </w:t>
      </w:r>
      <w:r w:rsidR="004A3870">
        <w:rPr>
          <w:lang w:val="en-US"/>
        </w:rPr>
        <w:t xml:space="preserve">disease </w:t>
      </w:r>
      <w:r w:rsidR="0026108B">
        <w:rPr>
          <w:lang w:val="en-US"/>
        </w:rPr>
        <w:t xml:space="preserve">severity </w:t>
      </w:r>
      <w:r w:rsidR="00B44BDE">
        <w:rPr>
          <w:lang w:val="en-US"/>
        </w:rPr>
        <w:t>effects</w:t>
      </w:r>
    </w:p>
    <w:p w14:paraId="0DCB8D37" w14:textId="430C627A" w:rsidR="000953AA" w:rsidRDefault="00A93DF4">
      <w:pPr>
        <w:rPr>
          <w:lang w:val="fi-FI"/>
        </w:rPr>
      </w:pPr>
      <w:r w:rsidRPr="00A93DF4">
        <w:rPr>
          <w:lang w:val="fi-FI"/>
        </w:rPr>
        <w:t>Matti Pirinen (</w:t>
      </w:r>
      <w:hyperlink r:id="rId5" w:history="1">
        <w:r w:rsidRPr="00153BE6">
          <w:rPr>
            <w:rStyle w:val="Hyperlink"/>
            <w:lang w:val="fi-FI"/>
          </w:rPr>
          <w:t>matti.pirinen@helsinki.fi</w:t>
        </w:r>
      </w:hyperlink>
      <w:r>
        <w:rPr>
          <w:lang w:val="fi-FI"/>
        </w:rPr>
        <w:t>) 4-Dec-2021</w:t>
      </w:r>
    </w:p>
    <w:p w14:paraId="4D2AB557" w14:textId="77777777" w:rsidR="00A93DF4" w:rsidRPr="00A93DF4" w:rsidRDefault="00A93DF4">
      <w:pPr>
        <w:rPr>
          <w:lang w:val="fi-FI"/>
        </w:rPr>
      </w:pPr>
    </w:p>
    <w:p w14:paraId="1FD990BA" w14:textId="7B3D3D40" w:rsidR="00BF6886" w:rsidRDefault="000953AA" w:rsidP="00E6161A">
      <w:pPr>
        <w:rPr>
          <w:lang w:val="en-US"/>
        </w:rPr>
      </w:pPr>
      <w:r w:rsidRPr="000953AA">
        <w:rPr>
          <w:lang w:val="en-US"/>
        </w:rPr>
        <w:t xml:space="preserve">We </w:t>
      </w:r>
      <w:r w:rsidR="00A12647">
        <w:rPr>
          <w:lang w:val="en-US"/>
        </w:rPr>
        <w:t xml:space="preserve">consider an assignment of variants reported in </w:t>
      </w:r>
      <w:r w:rsidR="00DC1806">
        <w:rPr>
          <w:lang w:val="en-US"/>
        </w:rPr>
        <w:t>“</w:t>
      </w:r>
      <w:r w:rsidR="00DC1806" w:rsidRPr="00A93DF4">
        <w:rPr>
          <w:lang w:val="en-US"/>
        </w:rPr>
        <w:t>covid_hgi_v6_topvariants_prob</w:t>
      </w:r>
      <w:r w:rsidR="00DC1806">
        <w:rPr>
          <w:lang w:val="en-US"/>
        </w:rPr>
        <w:t>.txt</w:t>
      </w:r>
      <w:r w:rsidR="00DC1806">
        <w:rPr>
          <w:lang w:val="en-US"/>
        </w:rPr>
        <w:t xml:space="preserve">” </w:t>
      </w:r>
      <w:r w:rsidR="00A12647">
        <w:rPr>
          <w:lang w:val="en-US"/>
        </w:rPr>
        <w:t xml:space="preserve">into two groups based on whether they </w:t>
      </w:r>
      <w:r w:rsidR="00C8275E">
        <w:rPr>
          <w:lang w:val="en-US"/>
        </w:rPr>
        <w:t xml:space="preserve">seem to </w:t>
      </w:r>
      <w:r w:rsidR="00A12647">
        <w:rPr>
          <w:lang w:val="en-US"/>
        </w:rPr>
        <w:t xml:space="preserve">affect </w:t>
      </w:r>
      <w:r w:rsidR="00726EB5">
        <w:rPr>
          <w:lang w:val="en-US"/>
        </w:rPr>
        <w:t xml:space="preserve">susceptibility to corona virus infection </w:t>
      </w:r>
      <w:r w:rsidR="00043C63">
        <w:rPr>
          <w:lang w:val="en-US"/>
        </w:rPr>
        <w:t>(</w:t>
      </w:r>
      <w:r w:rsidR="00180ADD">
        <w:rPr>
          <w:lang w:val="en-US"/>
        </w:rPr>
        <w:t>INF</w:t>
      </w:r>
      <w:r w:rsidR="00043C63">
        <w:rPr>
          <w:lang w:val="en-US"/>
        </w:rPr>
        <w:t xml:space="preserve">) </w:t>
      </w:r>
      <w:r w:rsidR="00726EB5">
        <w:rPr>
          <w:lang w:val="en-US"/>
        </w:rPr>
        <w:t xml:space="preserve">or </w:t>
      </w:r>
      <w:r w:rsidR="00A12647">
        <w:rPr>
          <w:lang w:val="en-US"/>
        </w:rPr>
        <w:t>sever</w:t>
      </w:r>
      <w:r w:rsidR="00726EB5">
        <w:rPr>
          <w:lang w:val="en-US"/>
        </w:rPr>
        <w:t xml:space="preserve">ity of </w:t>
      </w:r>
      <w:r w:rsidR="007C3013">
        <w:rPr>
          <w:lang w:val="en-US"/>
        </w:rPr>
        <w:t>the infection</w:t>
      </w:r>
      <w:r w:rsidR="00043C63">
        <w:rPr>
          <w:lang w:val="en-US"/>
        </w:rPr>
        <w:t xml:space="preserve"> (SEV)</w:t>
      </w:r>
      <w:r w:rsidR="00726EB5">
        <w:rPr>
          <w:lang w:val="en-US"/>
        </w:rPr>
        <w:t>.</w:t>
      </w:r>
      <w:r w:rsidR="00A12647">
        <w:rPr>
          <w:lang w:val="en-US"/>
        </w:rPr>
        <w:t xml:space="preserve"> </w:t>
      </w:r>
      <w:r w:rsidR="00E6161A">
        <w:rPr>
          <w:lang w:val="en-US"/>
        </w:rPr>
        <w:t xml:space="preserve">For this analysis, we </w:t>
      </w:r>
      <w:r w:rsidR="005D30AB">
        <w:rPr>
          <w:lang w:val="en-US"/>
        </w:rPr>
        <w:t>meta-analyzed</w:t>
      </w:r>
      <w:r w:rsidR="00E6161A">
        <w:rPr>
          <w:lang w:val="en-US"/>
        </w:rPr>
        <w:t xml:space="preserve"> GWAS summary statistics from such versions of B2 (hospitalized </w:t>
      </w:r>
      <w:r w:rsidR="00B11500">
        <w:rPr>
          <w:lang w:val="en-US"/>
        </w:rPr>
        <w:t>for COVID</w:t>
      </w:r>
      <w:r w:rsidR="00E6161A">
        <w:rPr>
          <w:lang w:val="en-US"/>
        </w:rPr>
        <w:t xml:space="preserve"> vs. population) and C2 (infected vs. population) </w:t>
      </w:r>
      <w:r w:rsidR="005D30AB">
        <w:rPr>
          <w:lang w:val="en-US"/>
        </w:rPr>
        <w:t>GWAS</w:t>
      </w:r>
      <w:r w:rsidR="00E6161A">
        <w:rPr>
          <w:lang w:val="en-US"/>
        </w:rPr>
        <w:t xml:space="preserve"> that only included those studies that had contributed some data to B2</w:t>
      </w:r>
      <w:r w:rsidR="00BF6886">
        <w:rPr>
          <w:lang w:val="en-US"/>
        </w:rPr>
        <w:t xml:space="preserve">. </w:t>
      </w:r>
      <w:r w:rsidR="005D30AB">
        <w:rPr>
          <w:lang w:val="en-US"/>
        </w:rPr>
        <w:t>Ther</w:t>
      </w:r>
      <w:r w:rsidR="00043C63">
        <w:rPr>
          <w:lang w:val="en-US"/>
        </w:rPr>
        <w:t>e</w:t>
      </w:r>
      <w:r w:rsidR="005D30AB">
        <w:rPr>
          <w:lang w:val="en-US"/>
        </w:rPr>
        <w:t xml:space="preserve">fore, all studies included in this analysis had made some effort to distinguish </w:t>
      </w:r>
      <w:r w:rsidR="00427CA2">
        <w:rPr>
          <w:lang w:val="en-US"/>
        </w:rPr>
        <w:t xml:space="preserve">from all the infected </w:t>
      </w:r>
      <w:r w:rsidR="008E3B68">
        <w:rPr>
          <w:lang w:val="en-US"/>
        </w:rPr>
        <w:t xml:space="preserve">individuals </w:t>
      </w:r>
      <w:r w:rsidR="005D30AB">
        <w:rPr>
          <w:lang w:val="en-US"/>
        </w:rPr>
        <w:t xml:space="preserve">those </w:t>
      </w:r>
      <w:r w:rsidR="007C3013">
        <w:rPr>
          <w:lang w:val="en-US"/>
        </w:rPr>
        <w:t xml:space="preserve">individuals </w:t>
      </w:r>
      <w:r w:rsidR="005D30AB">
        <w:rPr>
          <w:lang w:val="en-US"/>
        </w:rPr>
        <w:t xml:space="preserve">who additionally were hospitalized. </w:t>
      </w:r>
      <w:r w:rsidR="00BF6886">
        <w:rPr>
          <w:lang w:val="en-US"/>
        </w:rPr>
        <w:t xml:space="preserve">The sample sizes </w:t>
      </w:r>
      <w:r w:rsidR="005D30AB">
        <w:rPr>
          <w:lang w:val="en-US"/>
        </w:rPr>
        <w:t xml:space="preserve">of these GWAS </w:t>
      </w:r>
      <w:r w:rsidR="00BF6886">
        <w:rPr>
          <w:lang w:val="en-US"/>
        </w:rPr>
        <w:t xml:space="preserve">were </w:t>
      </w:r>
      <w:r w:rsidR="00427CA2">
        <w:rPr>
          <w:lang w:val="en-US"/>
        </w:rPr>
        <w:t>23,988 cases / 2,834,885 controls</w:t>
      </w:r>
      <w:r w:rsidR="00BF6886">
        <w:rPr>
          <w:lang w:val="en-US"/>
        </w:rPr>
        <w:t xml:space="preserve"> for B2 and </w:t>
      </w:r>
      <w:r w:rsidR="00427CA2">
        <w:rPr>
          <w:lang w:val="en-US"/>
        </w:rPr>
        <w:t>114,516 cases / 2,138,237 controls</w:t>
      </w:r>
      <w:r w:rsidR="00BF6886">
        <w:rPr>
          <w:lang w:val="en-US"/>
        </w:rPr>
        <w:t xml:space="preserve"> for C2.</w:t>
      </w:r>
      <w:r w:rsidR="005D30AB">
        <w:rPr>
          <w:lang w:val="en-US"/>
        </w:rPr>
        <w:t xml:space="preserve"> </w:t>
      </w:r>
    </w:p>
    <w:p w14:paraId="2EBA4547" w14:textId="57749993" w:rsidR="007C3013" w:rsidRDefault="007C3013" w:rsidP="00E6161A">
      <w:pPr>
        <w:rPr>
          <w:lang w:val="en-US"/>
        </w:rPr>
      </w:pPr>
    </w:p>
    <w:p w14:paraId="2F348AEC" w14:textId="69EE3D21" w:rsidR="00666848" w:rsidRDefault="00666848" w:rsidP="00E6161A">
      <w:pPr>
        <w:rPr>
          <w:lang w:val="en-US"/>
        </w:rPr>
      </w:pPr>
      <w:r>
        <w:rPr>
          <w:lang w:val="en-US"/>
        </w:rPr>
        <w:t>We assume that all hospitalized cases (B2 cases) were included among the infected cases (C2 cases) of the corresponding study and that</w:t>
      </w:r>
      <w:r w:rsidR="008E3B68">
        <w:rPr>
          <w:lang w:val="en-US"/>
        </w:rPr>
        <w:t>,</w:t>
      </w:r>
      <w:r>
        <w:rPr>
          <w:lang w:val="en-US"/>
        </w:rPr>
        <w:t xml:space="preserve"> </w:t>
      </w:r>
      <w:r w:rsidR="008E3B68">
        <w:rPr>
          <w:lang w:val="en-US"/>
        </w:rPr>
        <w:t xml:space="preserve">for each study, </w:t>
      </w:r>
      <w:r>
        <w:rPr>
          <w:lang w:val="en-US"/>
        </w:rPr>
        <w:t xml:space="preserve">the controls of B2 and C2 had a maximum overlap possible given the control counts in the two </w:t>
      </w:r>
      <w:r w:rsidR="006C59BB">
        <w:rPr>
          <w:lang w:val="en-US"/>
        </w:rPr>
        <w:t xml:space="preserve">data </w:t>
      </w:r>
      <w:r>
        <w:rPr>
          <w:lang w:val="en-US"/>
        </w:rPr>
        <w:t xml:space="preserve">sets. </w:t>
      </w:r>
    </w:p>
    <w:p w14:paraId="65FB578F" w14:textId="1F8D5D63" w:rsidR="00945004" w:rsidRDefault="00945004" w:rsidP="00CE6713">
      <w:pPr>
        <w:rPr>
          <w:lang w:val="en-US"/>
        </w:rPr>
      </w:pPr>
    </w:p>
    <w:p w14:paraId="0D4460C1" w14:textId="1EA7B80E" w:rsidR="00B11500" w:rsidRDefault="00B11500" w:rsidP="00CE6713">
      <w:pPr>
        <w:rPr>
          <w:lang w:val="en-US"/>
        </w:rPr>
      </w:pPr>
      <w:r>
        <w:rPr>
          <w:lang w:val="en-US"/>
        </w:rPr>
        <w:t>Next</w:t>
      </w:r>
      <w:r w:rsidR="006769E1">
        <w:rPr>
          <w:lang w:val="en-US"/>
        </w:rPr>
        <w:t>,</w:t>
      </w:r>
      <w:r>
        <w:rPr>
          <w:lang w:val="en-US"/>
        </w:rPr>
        <w:t xml:space="preserve"> we explain how we defined the statistical models that represent INF and SEV, and how we compared these models at each SNP.</w:t>
      </w:r>
    </w:p>
    <w:p w14:paraId="2F2EB5B7" w14:textId="77777777" w:rsidR="00B11500" w:rsidRDefault="00B11500" w:rsidP="00CE6713">
      <w:pPr>
        <w:rPr>
          <w:lang w:val="en-US"/>
        </w:rPr>
      </w:pPr>
    </w:p>
    <w:p w14:paraId="6CE2DB7B" w14:textId="2D974105" w:rsidR="00945004" w:rsidRDefault="00430DFA" w:rsidP="00CE6713">
      <w:pPr>
        <w:rPr>
          <w:lang w:val="en-US"/>
        </w:rPr>
      </w:pPr>
      <w:r>
        <w:rPr>
          <w:lang w:val="en-US"/>
        </w:rPr>
        <w:t xml:space="preserve">Intuitively, </w:t>
      </w:r>
      <w:r w:rsidR="00684799">
        <w:rPr>
          <w:lang w:val="en-US"/>
        </w:rPr>
        <w:t>INF</w:t>
      </w:r>
      <w:r>
        <w:rPr>
          <w:lang w:val="en-US"/>
        </w:rPr>
        <w:t xml:space="preserve"> represents a variant that associate</w:t>
      </w:r>
      <w:r w:rsidR="008E3B68">
        <w:rPr>
          <w:lang w:val="en-US"/>
        </w:rPr>
        <w:t>s</w:t>
      </w:r>
      <w:r>
        <w:rPr>
          <w:lang w:val="en-US"/>
        </w:rPr>
        <w:t xml:space="preserve"> with susceptibility of infection</w:t>
      </w:r>
      <w:r w:rsidR="006769E1">
        <w:rPr>
          <w:lang w:val="en-US"/>
        </w:rPr>
        <w:t xml:space="preserve"> but </w:t>
      </w:r>
      <w:r w:rsidR="00004BCD">
        <w:rPr>
          <w:lang w:val="en-US"/>
        </w:rPr>
        <w:t>has no effect</w:t>
      </w:r>
      <w:r w:rsidR="006769E1">
        <w:rPr>
          <w:lang w:val="en-US"/>
        </w:rPr>
        <w:t xml:space="preserve"> </w:t>
      </w:r>
      <w:r w:rsidR="00004BCD">
        <w:rPr>
          <w:lang w:val="en-US"/>
        </w:rPr>
        <w:t>on</w:t>
      </w:r>
      <w:r w:rsidR="006769E1">
        <w:rPr>
          <w:lang w:val="en-US"/>
        </w:rPr>
        <w:t xml:space="preserve"> the severity of infection. </w:t>
      </w:r>
      <w:r w:rsidR="00004BCD">
        <w:rPr>
          <w:lang w:val="en-US"/>
        </w:rPr>
        <w:t>The</w:t>
      </w:r>
      <w:r>
        <w:rPr>
          <w:lang w:val="en-US"/>
        </w:rPr>
        <w:t xml:space="preserve"> </w:t>
      </w:r>
      <w:r w:rsidR="00004BCD">
        <w:rPr>
          <w:lang w:val="en-US"/>
        </w:rPr>
        <w:t>allele frequency of such a variant is similar among the hospitalized cases (B2 cases) as it is among all infected (C2 cases). Thus, under the INF model, we assume similar effect size between</w:t>
      </w:r>
      <w:r>
        <w:rPr>
          <w:lang w:val="en-US"/>
        </w:rPr>
        <w:t xml:space="preserve"> </w:t>
      </w:r>
      <w:r w:rsidR="00004BCD">
        <w:rPr>
          <w:lang w:val="en-US"/>
        </w:rPr>
        <w:t>C</w:t>
      </w:r>
      <w:r>
        <w:rPr>
          <w:lang w:val="en-US"/>
        </w:rPr>
        <w:t xml:space="preserve">2 and </w:t>
      </w:r>
      <w:r w:rsidR="00004BCD">
        <w:rPr>
          <w:lang w:val="en-US"/>
        </w:rPr>
        <w:t>B</w:t>
      </w:r>
      <w:r>
        <w:rPr>
          <w:lang w:val="en-US"/>
        </w:rPr>
        <w:t>2</w:t>
      </w:r>
      <w:r w:rsidR="00666848">
        <w:rPr>
          <w:lang w:val="en-US"/>
        </w:rPr>
        <w:t xml:space="preserve">, i.e.,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C2</m:t>
            </m:r>
          </m:sub>
        </m:sSub>
        <m:r>
          <w:rPr>
            <w:rFonts w:ascii="Cambria Math" w:hAnsi="Cambria Math"/>
            <w:lang w:val="en-US"/>
          </w:rPr>
          <m:t>≈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B2</m:t>
            </m:r>
          </m:sub>
        </m:sSub>
      </m:oMath>
      <w:r>
        <w:rPr>
          <w:lang w:val="en-US"/>
        </w:rPr>
        <w:t xml:space="preserve">. </w:t>
      </w:r>
    </w:p>
    <w:p w14:paraId="7D0B929B" w14:textId="77777777" w:rsidR="00945004" w:rsidRDefault="00945004" w:rsidP="00CE6713">
      <w:pPr>
        <w:rPr>
          <w:lang w:val="en-US"/>
        </w:rPr>
      </w:pPr>
    </w:p>
    <w:p w14:paraId="20921CB3" w14:textId="7860817A" w:rsidR="00430DFA" w:rsidRPr="00BC5697" w:rsidRDefault="00430DFA" w:rsidP="00CE6713">
      <w:pPr>
        <w:rPr>
          <w:lang w:val="en-US"/>
        </w:rPr>
      </w:pPr>
      <w:r>
        <w:rPr>
          <w:lang w:val="en-US"/>
        </w:rPr>
        <w:t xml:space="preserve">Model SEV represents a variant that affects severity of infection </w:t>
      </w:r>
      <m:oMath>
        <m:r>
          <w:rPr>
            <w:rFonts w:ascii="Cambria Math" w:hAnsi="Cambria Math"/>
            <w:lang w:val="en-US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B2</m:t>
                </m:r>
              </m:sub>
            </m:sSub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e>
        </m:d>
        <m:r>
          <w:rPr>
            <w:rFonts w:ascii="Cambria Math" w:eastAsiaTheme="minorHAnsi" w:hAnsi="Cambria Math" w:cstheme="minorBidi"/>
            <w:lang w:val="en-US" w:eastAsia="en-US"/>
          </w:rPr>
          <m:t>&gt;0</m:t>
        </m:r>
      </m:oMath>
      <w:r w:rsidR="00180ADD">
        <w:rPr>
          <w:lang w:val="en-US" w:eastAsia="en-US"/>
        </w:rPr>
        <w:t xml:space="preserve">) </w:t>
      </w:r>
      <w:r>
        <w:rPr>
          <w:lang w:val="en-US"/>
        </w:rPr>
        <w:t xml:space="preserve">but </w:t>
      </w:r>
      <w:r w:rsidR="00BC5697">
        <w:rPr>
          <w:lang w:val="en-US"/>
        </w:rPr>
        <w:t>not</w:t>
      </w:r>
      <w:r>
        <w:rPr>
          <w:lang w:val="en-US"/>
        </w:rPr>
        <w:t xml:space="preserve"> susceptibility to infection. </w:t>
      </w:r>
      <w:r w:rsidR="00180ADD">
        <w:rPr>
          <w:lang w:val="en-US"/>
        </w:rPr>
        <w:t xml:space="preserve">If the cases of our susceptibility scan C2 were a random subset of infected individuals, then </w:t>
      </w:r>
      <w:r w:rsidR="005752AF">
        <w:rPr>
          <w:lang w:val="en-US"/>
        </w:rPr>
        <w:t xml:space="preserve">under the SEV model,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C2</m:t>
            </m:r>
          </m:sub>
        </m:sSub>
        <m:r>
          <w:rPr>
            <w:rFonts w:ascii="Cambria Math" w:hAnsi="Cambria Math"/>
            <w:lang w:val="en-US"/>
          </w:rPr>
          <m:t>≈0</m:t>
        </m:r>
      </m:oMath>
      <w:r w:rsidR="005752AF">
        <w:rPr>
          <w:lang w:val="en-US"/>
        </w:rPr>
        <w:t xml:space="preserve">. However, since our C2 cases are strongly enriched for severe cases, we expect that in our data also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|β</m:t>
            </m:r>
          </m:e>
          <m:sub>
            <m:r>
              <w:rPr>
                <w:rFonts w:ascii="Cambria Math" w:hAnsi="Cambria Math"/>
                <w:lang w:val="en-US"/>
              </w:rPr>
              <m:t>C2</m:t>
            </m:r>
          </m:sub>
        </m:sSub>
        <m:r>
          <w:rPr>
            <w:rFonts w:ascii="Cambria Math" w:hAnsi="Cambria Math"/>
            <w:lang w:val="en-US"/>
          </w:rPr>
          <m:t>|&gt;0</m:t>
        </m:r>
      </m:oMath>
      <w:r w:rsidR="005752AF">
        <w:rPr>
          <w:lang w:val="en-US"/>
        </w:rPr>
        <w:t xml:space="preserve"> even when a variant is affecting severity </w:t>
      </w:r>
      <w:r w:rsidR="00945004">
        <w:rPr>
          <w:lang w:val="en-US"/>
        </w:rPr>
        <w:t>of infection but</w:t>
      </w:r>
      <w:r w:rsidR="005752AF">
        <w:rPr>
          <w:lang w:val="en-US"/>
        </w:rPr>
        <w:t xml:space="preserve"> not susceptibility </w:t>
      </w:r>
      <w:r w:rsidR="00945004">
        <w:rPr>
          <w:lang w:val="en-US"/>
        </w:rPr>
        <w:t>to</w:t>
      </w:r>
      <w:r w:rsidR="005752AF">
        <w:rPr>
          <w:lang w:val="en-US"/>
        </w:rPr>
        <w:t xml:space="preserve"> infection. </w:t>
      </w:r>
      <w:r w:rsidR="00B11500">
        <w:rPr>
          <w:lang w:val="en-US"/>
        </w:rPr>
        <w:t>W</w:t>
      </w:r>
      <w:r>
        <w:rPr>
          <w:lang w:val="en-US"/>
        </w:rPr>
        <w:t>e expect that</w:t>
      </w:r>
      <w:r w:rsidR="00666848">
        <w:rPr>
          <w:lang w:val="en-US"/>
        </w:rPr>
        <w:t>,</w:t>
      </w:r>
      <w:r>
        <w:rPr>
          <w:lang w:val="en-US"/>
        </w:rPr>
        <w:t xml:space="preserve"> for such variants, the effect size in C2 is </w:t>
      </w:r>
      <w:r w:rsidR="00A56FE9">
        <w:rPr>
          <w:lang w:val="en-US"/>
        </w:rPr>
        <w:t xml:space="preserve">proportional to its effect in B2, i.e.,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C2</m:t>
            </m:r>
          </m:sub>
        </m:sSub>
        <m:r>
          <w:rPr>
            <w:rFonts w:ascii="Cambria Math" w:hAnsi="Cambria Math"/>
            <w:lang w:val="en-US"/>
          </w:rPr>
          <m:t>≈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SEV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B2</m:t>
            </m:r>
          </m:sub>
        </m:sSub>
      </m:oMath>
      <w:r w:rsidR="00A56FE9">
        <w:rPr>
          <w:lang w:val="en-US"/>
        </w:rPr>
        <w:t xml:space="preserve">, where the constant of proportionality, </w:t>
      </w:r>
      <w:proofErr w:type="spellStart"/>
      <w:r w:rsidR="00A56FE9" w:rsidRPr="00A56FE9">
        <w:rPr>
          <w:i/>
          <w:iCs/>
          <w:lang w:val="en-US"/>
        </w:rPr>
        <w:t>w</w:t>
      </w:r>
      <w:r w:rsidR="00A56FE9" w:rsidRPr="00A56FE9">
        <w:rPr>
          <w:i/>
          <w:iCs/>
          <w:vertAlign w:val="subscript"/>
          <w:lang w:val="en-US"/>
        </w:rPr>
        <w:t>SEV</w:t>
      </w:r>
      <w:proofErr w:type="spellEnd"/>
      <w:r w:rsidR="00A56FE9">
        <w:rPr>
          <w:lang w:val="en-US"/>
        </w:rPr>
        <w:t xml:space="preserve"> &lt; 1, depends on the proportion of all C2 cases that are also B2 cases.</w:t>
      </w:r>
      <w:r w:rsidR="00666848">
        <w:rPr>
          <w:lang w:val="en-US"/>
        </w:rPr>
        <w:t xml:space="preserve"> If we </w:t>
      </w:r>
      <w:r w:rsidR="00BC5697">
        <w:rPr>
          <w:lang w:val="en-US"/>
        </w:rPr>
        <w:t>imagine</w:t>
      </w:r>
      <w:r w:rsidR="00666848">
        <w:rPr>
          <w:lang w:val="en-US"/>
        </w:rPr>
        <w:t xml:space="preserve"> C2</w:t>
      </w:r>
      <w:r w:rsidR="00A56FE9">
        <w:rPr>
          <w:lang w:val="en-US"/>
        </w:rPr>
        <w:t xml:space="preserve"> </w:t>
      </w:r>
      <w:r w:rsidR="00666848">
        <w:rPr>
          <w:lang w:val="en-US"/>
        </w:rPr>
        <w:t>analysis as a fixed</w:t>
      </w:r>
      <w:r w:rsidR="008E3B68">
        <w:rPr>
          <w:lang w:val="en-US"/>
        </w:rPr>
        <w:t>-</w:t>
      </w:r>
      <w:r w:rsidR="00666848">
        <w:rPr>
          <w:lang w:val="en-US"/>
        </w:rPr>
        <w:t>effect meta-analysis between B2 and a</w:t>
      </w:r>
      <w:r w:rsidR="00A6637C">
        <w:rPr>
          <w:lang w:val="en-US"/>
        </w:rPr>
        <w:t>n</w:t>
      </w:r>
      <w:r w:rsidR="00666848">
        <w:rPr>
          <w:lang w:val="en-US"/>
        </w:rPr>
        <w:t xml:space="preserve"> </w:t>
      </w:r>
      <w:r w:rsidR="00BC5697">
        <w:rPr>
          <w:lang w:val="en-US"/>
        </w:rPr>
        <w:t>(</w:t>
      </w:r>
      <w:r w:rsidR="00A6637C">
        <w:rPr>
          <w:lang w:val="en-US"/>
        </w:rPr>
        <w:t>imaginary</w:t>
      </w:r>
      <w:r w:rsidR="00BC5697">
        <w:rPr>
          <w:lang w:val="en-US"/>
        </w:rPr>
        <w:t>)</w:t>
      </w:r>
      <w:r w:rsidR="00666848">
        <w:rPr>
          <w:lang w:val="en-US"/>
        </w:rPr>
        <w:t xml:space="preserve"> “non-</w:t>
      </w:r>
      <w:r w:rsidR="00BC5697">
        <w:rPr>
          <w:lang w:val="en-US"/>
        </w:rPr>
        <w:t>severe</w:t>
      </w:r>
      <w:r w:rsidR="00666848">
        <w:rPr>
          <w:lang w:val="en-US"/>
        </w:rPr>
        <w:t xml:space="preserve"> </w:t>
      </w:r>
      <w:r w:rsidR="00BC5697">
        <w:rPr>
          <w:lang w:val="en-US"/>
        </w:rPr>
        <w:t>infection</w:t>
      </w:r>
      <w:r w:rsidR="00666848">
        <w:rPr>
          <w:lang w:val="en-US"/>
        </w:rPr>
        <w:t xml:space="preserve"> vs. population” analysis </w:t>
      </w:r>
      <w:r w:rsidR="00A6637C">
        <w:rPr>
          <w:lang w:val="en-US"/>
        </w:rPr>
        <w:t>that had</w:t>
      </w:r>
      <w:r w:rsidR="00666848">
        <w:rPr>
          <w:lang w:val="en-US"/>
        </w:rPr>
        <w:t xml:space="preserve"> </w:t>
      </w:r>
      <w:r w:rsidR="00A6637C">
        <w:rPr>
          <w:lang w:val="en-US"/>
        </w:rPr>
        <w:t>no</w:t>
      </w:r>
      <w:r w:rsidR="00666848">
        <w:rPr>
          <w:lang w:val="en-US"/>
        </w:rPr>
        <w:t xml:space="preserve"> sample overlap</w:t>
      </w:r>
      <w:r w:rsidR="00A6637C">
        <w:rPr>
          <w:lang w:val="en-US"/>
        </w:rPr>
        <w:t xml:space="preserve"> with B2 analysis</w:t>
      </w:r>
      <w:r w:rsidR="00666848"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SEV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</m:den>
        </m:f>
      </m:oMath>
      <w:r w:rsidR="00A6637C">
        <w:rPr>
          <w:rFonts w:eastAsiaTheme="minorEastAsia"/>
          <w:lang w:val="en-US"/>
        </w:rPr>
        <w:t xml:space="preserve">, where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(eff)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4R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6637C">
        <w:rPr>
          <w:rFonts w:eastAsiaTheme="minorEastAsia"/>
          <w:lang w:val="en-US"/>
        </w:rPr>
        <w:t xml:space="preserve"> is the effective sample size of study </w:t>
      </w:r>
      <w:proofErr w:type="spellStart"/>
      <w:r w:rsidR="00A6637C">
        <w:rPr>
          <w:rFonts w:eastAsiaTheme="minorEastAsia"/>
          <w:i/>
          <w:iCs/>
          <w:lang w:val="en-US"/>
        </w:rPr>
        <w:t>i</w:t>
      </w:r>
      <w:proofErr w:type="spellEnd"/>
      <w:r w:rsidR="00A6637C">
        <w:rPr>
          <w:rFonts w:eastAsiaTheme="minorEastAsia"/>
          <w:lang w:val="en-US"/>
        </w:rPr>
        <w:t xml:space="preserve"> with </w:t>
      </w:r>
      <w:r w:rsidR="00A6637C" w:rsidRPr="00EC199E">
        <w:rPr>
          <w:rFonts w:eastAsiaTheme="minorEastAsia"/>
          <w:i/>
          <w:iCs/>
          <w:lang w:val="en-US"/>
        </w:rPr>
        <w:t>R</w:t>
      </w:r>
      <w:r w:rsidR="00A6637C">
        <w:rPr>
          <w:rFonts w:eastAsiaTheme="minorEastAsia"/>
          <w:i/>
          <w:iCs/>
          <w:vertAlign w:val="subscript"/>
          <w:lang w:val="en-US"/>
        </w:rPr>
        <w:t>i</w:t>
      </w:r>
      <w:r w:rsidR="00A6637C">
        <w:rPr>
          <w:rFonts w:eastAsiaTheme="minorEastAsia"/>
          <w:lang w:val="en-US"/>
        </w:rPr>
        <w:t xml:space="preserve"> the number of controls, </w:t>
      </w:r>
      <w:r w:rsidR="00A6637C" w:rsidRPr="00EC199E">
        <w:rPr>
          <w:rFonts w:eastAsiaTheme="minorEastAsia"/>
          <w:i/>
          <w:iCs/>
          <w:lang w:val="en-US"/>
        </w:rPr>
        <w:t>S</w:t>
      </w:r>
      <w:r w:rsidR="00A6637C">
        <w:rPr>
          <w:rFonts w:eastAsiaTheme="minorEastAsia"/>
          <w:i/>
          <w:iCs/>
          <w:vertAlign w:val="subscript"/>
          <w:lang w:val="en-US"/>
        </w:rPr>
        <w:t>i</w:t>
      </w:r>
      <w:r w:rsidR="00A6637C">
        <w:rPr>
          <w:rFonts w:eastAsiaTheme="minorEastAsia"/>
          <w:lang w:val="en-US"/>
        </w:rPr>
        <w:t xml:space="preserve"> the number of cases and </w:t>
      </w:r>
      <w:r w:rsidR="00A6637C" w:rsidRPr="00EC199E">
        <w:rPr>
          <w:rFonts w:eastAsiaTheme="minorEastAsia"/>
          <w:i/>
          <w:iCs/>
          <w:lang w:val="en-US"/>
        </w:rPr>
        <w:t>N</w:t>
      </w:r>
      <w:r w:rsidR="00A6637C">
        <w:rPr>
          <w:rFonts w:eastAsiaTheme="minorEastAsia"/>
          <w:i/>
          <w:iCs/>
          <w:vertAlign w:val="subscript"/>
          <w:lang w:val="en-US"/>
        </w:rPr>
        <w:t>i</w:t>
      </w:r>
      <w:r w:rsidR="00A6637C">
        <w:rPr>
          <w:rFonts w:eastAsiaTheme="minorEastAsia"/>
          <w:lang w:val="en-US"/>
        </w:rPr>
        <w:t xml:space="preserve"> = </w:t>
      </w:r>
      <w:r w:rsidR="00A6637C" w:rsidRPr="00EC199E">
        <w:rPr>
          <w:rFonts w:eastAsiaTheme="minorEastAsia"/>
          <w:i/>
          <w:iCs/>
          <w:lang w:val="en-US"/>
        </w:rPr>
        <w:t>R</w:t>
      </w:r>
      <w:r w:rsidR="00A6637C">
        <w:rPr>
          <w:rFonts w:eastAsiaTheme="minorEastAsia"/>
          <w:i/>
          <w:iCs/>
          <w:vertAlign w:val="subscript"/>
          <w:lang w:val="en-US"/>
        </w:rPr>
        <w:t>i</w:t>
      </w:r>
      <w:r w:rsidR="00A6637C" w:rsidRPr="00EC199E">
        <w:rPr>
          <w:rFonts w:eastAsiaTheme="minorEastAsia"/>
          <w:i/>
          <w:iCs/>
          <w:lang w:val="en-US"/>
        </w:rPr>
        <w:t xml:space="preserve"> </w:t>
      </w:r>
      <w:r w:rsidR="00A6637C">
        <w:rPr>
          <w:rFonts w:eastAsiaTheme="minorEastAsia"/>
          <w:lang w:val="en-US"/>
        </w:rPr>
        <w:t xml:space="preserve">+ </w:t>
      </w:r>
      <w:r w:rsidR="00A6637C" w:rsidRPr="00EC199E">
        <w:rPr>
          <w:rFonts w:eastAsiaTheme="minorEastAsia"/>
          <w:i/>
          <w:iCs/>
          <w:lang w:val="en-US"/>
        </w:rPr>
        <w:t>S</w:t>
      </w:r>
      <w:r w:rsidR="00A6637C">
        <w:rPr>
          <w:rFonts w:eastAsiaTheme="minorEastAsia"/>
          <w:i/>
          <w:iCs/>
          <w:vertAlign w:val="subscript"/>
          <w:lang w:val="en-US"/>
        </w:rPr>
        <w:t>i</w:t>
      </w:r>
      <w:r w:rsidR="00A6637C">
        <w:rPr>
          <w:rFonts w:eastAsiaTheme="minorEastAsia"/>
          <w:lang w:val="en-US"/>
        </w:rPr>
        <w:t xml:space="preserve">. </w:t>
      </w:r>
      <w:r w:rsidR="00AF0AFD">
        <w:rPr>
          <w:rFonts w:eastAsiaTheme="minorEastAsia"/>
          <w:lang w:val="en-US"/>
        </w:rPr>
        <w:t xml:space="preserve">In our data, </w:t>
      </w:r>
      <m:oMath>
        <m:f>
          <m:fPr>
            <m:type m:val="lin"/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 xml:space="preserve">≈0.208, </m:t>
        </m:r>
      </m:oMath>
      <w:r w:rsidR="00AF0AFD">
        <w:rPr>
          <w:rFonts w:eastAsiaTheme="minorEastAsia"/>
          <w:lang w:val="en-US"/>
        </w:rPr>
        <w:t xml:space="preserve">where the effective sample sizes are computed </w:t>
      </w:r>
      <w:r w:rsidR="008E3B68">
        <w:rPr>
          <w:rFonts w:eastAsiaTheme="minorEastAsia"/>
          <w:lang w:val="en-US"/>
        </w:rPr>
        <w:t>by</w:t>
      </w:r>
      <w:r w:rsidR="00AF0AFD">
        <w:rPr>
          <w:rFonts w:eastAsiaTheme="minorEastAsia"/>
          <w:lang w:val="en-US"/>
        </w:rPr>
        <w:t xml:space="preserve"> sum</w:t>
      </w:r>
      <w:r w:rsidR="008E3B68">
        <w:rPr>
          <w:rFonts w:eastAsiaTheme="minorEastAsia"/>
          <w:lang w:val="en-US"/>
        </w:rPr>
        <w:t>ming the effective sample sizes</w:t>
      </w:r>
      <w:r w:rsidR="00AF0AFD">
        <w:rPr>
          <w:rFonts w:eastAsiaTheme="minorEastAsia"/>
          <w:lang w:val="en-US"/>
        </w:rPr>
        <w:t xml:space="preserve"> over individual studies of B2 and C2 analyses. </w:t>
      </w:r>
      <w:r w:rsidR="00A6637C">
        <w:rPr>
          <w:rFonts w:eastAsiaTheme="minorEastAsia"/>
          <w:lang w:val="en-US"/>
        </w:rPr>
        <w:t xml:space="preserve">Even when controls of B2 analysis and the imaginary </w:t>
      </w:r>
      <w:r w:rsidR="00A6637C">
        <w:rPr>
          <w:lang w:val="en-US"/>
        </w:rPr>
        <w:t>“non-</w:t>
      </w:r>
      <w:r w:rsidR="00BC5697">
        <w:rPr>
          <w:lang w:val="en-US"/>
        </w:rPr>
        <w:t>severe</w:t>
      </w:r>
      <w:r w:rsidR="00A6637C">
        <w:rPr>
          <w:lang w:val="en-US"/>
        </w:rPr>
        <w:t xml:space="preserve"> </w:t>
      </w:r>
      <w:r w:rsidR="00BC5697">
        <w:rPr>
          <w:lang w:val="en-US"/>
        </w:rPr>
        <w:t xml:space="preserve">infection </w:t>
      </w:r>
      <w:r w:rsidR="00A6637C">
        <w:rPr>
          <w:lang w:val="en-US"/>
        </w:rPr>
        <w:t xml:space="preserve">vs. population” analysis </w:t>
      </w:r>
      <w:r w:rsidR="00B01C80">
        <w:rPr>
          <w:lang w:val="en-US"/>
        </w:rPr>
        <w:t>overlap</w:t>
      </w:r>
      <w:r w:rsidR="0045693C">
        <w:rPr>
          <w:lang w:val="en-US"/>
        </w:rPr>
        <w:t>ped</w:t>
      </w:r>
      <w:r w:rsidR="00B01C80">
        <w:rPr>
          <w:lang w:val="en-US"/>
        </w:rPr>
        <w:t xml:space="preserve"> </w:t>
      </w:r>
      <w:r w:rsidR="00A6637C">
        <w:rPr>
          <w:lang w:val="en-US"/>
        </w:rPr>
        <w:t>completely</w:t>
      </w:r>
      <w:r w:rsidR="00B01C80">
        <w:rPr>
          <w:lang w:val="en-US"/>
        </w:rPr>
        <w:t xml:space="preserve">, the value </w:t>
      </w:r>
      <w:r w:rsidR="0045693C">
        <w:rPr>
          <w:lang w:val="en-US"/>
        </w:rPr>
        <w:t>of</w:t>
      </w:r>
      <w:r w:rsidR="00B01C80">
        <w:rPr>
          <w:lang w:val="en-US"/>
        </w:rPr>
        <w:t xml:space="preserve"> </w:t>
      </w:r>
      <w:proofErr w:type="spellStart"/>
      <w:r w:rsidR="00B01C80" w:rsidRPr="00A56FE9">
        <w:rPr>
          <w:i/>
          <w:iCs/>
          <w:lang w:val="en-US"/>
        </w:rPr>
        <w:t>w</w:t>
      </w:r>
      <w:r w:rsidR="00B01C80" w:rsidRPr="0086067E">
        <w:rPr>
          <w:i/>
          <w:iCs/>
          <w:vertAlign w:val="subscript"/>
          <w:lang w:val="en-US"/>
        </w:rPr>
        <w:t>SEV</w:t>
      </w:r>
      <w:proofErr w:type="spellEnd"/>
      <w:r w:rsidR="00B01C80">
        <w:rPr>
          <w:i/>
          <w:iCs/>
          <w:vertAlign w:val="subscript"/>
          <w:lang w:val="en-US"/>
        </w:rPr>
        <w:t xml:space="preserve"> </w:t>
      </w:r>
      <w:r w:rsidR="00BC5697">
        <w:rPr>
          <w:lang w:val="en-US"/>
        </w:rPr>
        <w:t>would c</w:t>
      </w:r>
      <w:r w:rsidR="00B01C80">
        <w:rPr>
          <w:lang w:val="en-US"/>
        </w:rPr>
        <w:t>hange little</w:t>
      </w:r>
      <w:r w:rsidR="008E3B68">
        <w:rPr>
          <w:lang w:val="en-US"/>
        </w:rPr>
        <w:t xml:space="preserve"> in these data. </w:t>
      </w:r>
      <w:r w:rsidR="00AF0AFD">
        <w:rPr>
          <w:lang w:val="en-US"/>
        </w:rPr>
        <w:t>After accounting for the overlap in controls, w</w:t>
      </w:r>
      <w:r w:rsidR="00B01C80">
        <w:rPr>
          <w:lang w:val="en-US"/>
        </w:rPr>
        <w:t xml:space="preserve">e </w:t>
      </w:r>
      <w:r w:rsidR="0045693C">
        <w:rPr>
          <w:lang w:val="en-US"/>
        </w:rPr>
        <w:t>estimated</w:t>
      </w:r>
      <w:r w:rsidR="00AF0AFD">
        <w:rPr>
          <w:lang w:val="en-US"/>
        </w:rPr>
        <w:t xml:space="preserve"> a</w:t>
      </w:r>
      <w:r w:rsidR="00B01C80">
        <w:rPr>
          <w:lang w:val="en-US"/>
        </w:rPr>
        <w:t xml:space="preserve"> value</w:t>
      </w:r>
      <w:r w:rsidR="00AF0AFD">
        <w:rPr>
          <w:lang w:val="en-US"/>
        </w:rPr>
        <w:t xml:space="preserve"> of </w:t>
      </w:r>
      <w:proofErr w:type="spellStart"/>
      <w:r w:rsidR="00AF0AFD" w:rsidRPr="00A56FE9">
        <w:rPr>
          <w:i/>
          <w:iCs/>
          <w:lang w:val="en-US"/>
        </w:rPr>
        <w:t>w</w:t>
      </w:r>
      <w:r w:rsidR="00AF0AFD" w:rsidRPr="00A56FE9">
        <w:rPr>
          <w:i/>
          <w:iCs/>
          <w:vertAlign w:val="subscript"/>
          <w:lang w:val="en-US"/>
        </w:rPr>
        <w:t>SEV</w:t>
      </w:r>
      <w:proofErr w:type="spellEnd"/>
      <w:r w:rsidR="00AF0AFD">
        <w:rPr>
          <w:lang w:val="en-US"/>
        </w:rPr>
        <w:t xml:space="preserve"> = 0.20</w:t>
      </w:r>
      <w:r w:rsidR="0045693C">
        <w:rPr>
          <w:lang w:val="en-US"/>
        </w:rPr>
        <w:t xml:space="preserve"> that we used in the analyses described below.</w:t>
      </w:r>
      <w:r w:rsidR="00BC5697">
        <w:rPr>
          <w:lang w:val="en-US"/>
        </w:rPr>
        <w:t xml:space="preserve"> </w:t>
      </w:r>
    </w:p>
    <w:p w14:paraId="7A5BB5E8" w14:textId="77777777" w:rsidR="00430DFA" w:rsidRDefault="00430DFA" w:rsidP="00CE6713">
      <w:pPr>
        <w:rPr>
          <w:lang w:val="en-US"/>
        </w:rPr>
      </w:pPr>
    </w:p>
    <w:p w14:paraId="63E113BF" w14:textId="310E0302" w:rsidR="002225D7" w:rsidRDefault="002225D7" w:rsidP="00CE6713">
      <w:pPr>
        <w:rPr>
          <w:lang w:val="en-US"/>
        </w:rPr>
      </w:pPr>
      <w:r>
        <w:rPr>
          <w:lang w:val="en-US"/>
        </w:rPr>
        <w:t xml:space="preserve">To derive correlation </w:t>
      </w:r>
      <w:r w:rsidRPr="002225D7">
        <w:rPr>
          <w:i/>
          <w:iCs/>
          <w:lang w:val="en-US"/>
        </w:rPr>
        <w:t>r</w:t>
      </w:r>
      <w:r w:rsidRPr="002225D7">
        <w:rPr>
          <w:i/>
          <w:iCs/>
          <w:vertAlign w:val="subscript"/>
          <w:lang w:val="en-US"/>
        </w:rPr>
        <w:t>B2C2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between the effect size estimators </w:t>
      </w:r>
      <w:r w:rsidR="00BC5697">
        <w:rPr>
          <w:lang w:val="en-US"/>
        </w:rPr>
        <w:t>of</w:t>
      </w:r>
      <w:r>
        <w:rPr>
          <w:lang w:val="en-US"/>
        </w:rPr>
        <w:t xml:space="preserve"> B2 and C2 analyses</w:t>
      </w:r>
      <w:r w:rsidR="00BC5697">
        <w:rPr>
          <w:lang w:val="en-US"/>
        </w:rPr>
        <w:t xml:space="preserve"> due to overlapping samples</w:t>
      </w:r>
      <w:r>
        <w:rPr>
          <w:lang w:val="en-US"/>
        </w:rPr>
        <w:t>, we use</w:t>
      </w:r>
      <w:r w:rsidR="008E3B68">
        <w:rPr>
          <w:lang w:val="en-US"/>
        </w:rPr>
        <w:t>d</w:t>
      </w:r>
      <w:r>
        <w:rPr>
          <w:lang w:val="en-US"/>
        </w:rPr>
        <w:t xml:space="preserve"> formula</w:t>
      </w:r>
    </w:p>
    <w:p w14:paraId="6522B029" w14:textId="77777777" w:rsidR="009D7D0E" w:rsidRDefault="009D7D0E" w:rsidP="00CE6713">
      <w:pPr>
        <w:rPr>
          <w:lang w:val="en-US"/>
        </w:rPr>
      </w:pPr>
    </w:p>
    <w:p w14:paraId="53966D0A" w14:textId="16FFE10E" w:rsidR="002225D7" w:rsidRPr="002225D7" w:rsidRDefault="00DC1806" w:rsidP="00CE671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B2C2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B2,k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(eff)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(eff)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B2C2,k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B2,k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(eff)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nary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(eff)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rad>
            </m:den>
          </m:f>
        </m:oMath>
      </m:oMathPara>
    </w:p>
    <w:p w14:paraId="666DD0A2" w14:textId="71699E2A" w:rsidR="002225D7" w:rsidRDefault="002225D7" w:rsidP="00CE6713">
      <w:pPr>
        <w:rPr>
          <w:lang w:val="en-US"/>
        </w:rPr>
      </w:pPr>
    </w:p>
    <w:p w14:paraId="72BE4B78" w14:textId="5F8788CD" w:rsidR="00EC199E" w:rsidRDefault="00BD5C0B" w:rsidP="00CE6713">
      <w:pPr>
        <w:rPr>
          <w:rFonts w:eastAsiaTheme="minorEastAsia"/>
          <w:lang w:val="en-US"/>
        </w:rPr>
      </w:pPr>
      <w:r>
        <w:rPr>
          <w:lang w:val="en-US"/>
        </w:rPr>
        <w:t>w</w:t>
      </w:r>
      <w:r w:rsidR="002225D7">
        <w:rPr>
          <w:lang w:val="en-US"/>
        </w:rPr>
        <w:t xml:space="preserve">here subscript </w:t>
      </w:r>
      <w:r w:rsidR="002225D7" w:rsidRPr="002225D7">
        <w:rPr>
          <w:i/>
          <w:iCs/>
          <w:lang w:val="en-US"/>
        </w:rPr>
        <w:t>k</w:t>
      </w:r>
      <w:r w:rsidR="002225D7">
        <w:rPr>
          <w:lang w:val="en-US"/>
        </w:rPr>
        <w:t xml:space="preserve"> refers to individual studies</w:t>
      </w:r>
      <w:r w:rsidR="00EC199E">
        <w:rPr>
          <w:rFonts w:eastAsiaTheme="minorEastAsia"/>
          <w:lang w:val="en-US"/>
        </w:rPr>
        <w:t xml:space="preserve">. The correlation </w:t>
      </w:r>
      <w:r w:rsidR="00EC199E" w:rsidRPr="00EC199E">
        <w:rPr>
          <w:rFonts w:eastAsiaTheme="minorEastAsia"/>
          <w:i/>
          <w:iCs/>
          <w:lang w:val="en-US"/>
        </w:rPr>
        <w:t>r</w:t>
      </w:r>
      <w:r w:rsidR="00EC199E" w:rsidRPr="00EC199E">
        <w:rPr>
          <w:rFonts w:eastAsiaTheme="minorEastAsia"/>
          <w:i/>
          <w:iCs/>
          <w:vertAlign w:val="subscript"/>
          <w:lang w:val="en-US"/>
        </w:rPr>
        <w:t>B2C</w:t>
      </w:r>
      <w:proofErr w:type="gramStart"/>
      <w:r w:rsidR="00EC199E" w:rsidRPr="00EC199E">
        <w:rPr>
          <w:rFonts w:eastAsiaTheme="minorEastAsia"/>
          <w:i/>
          <w:iCs/>
          <w:vertAlign w:val="subscript"/>
          <w:lang w:val="en-US"/>
        </w:rPr>
        <w:t>2,k</w:t>
      </w:r>
      <w:proofErr w:type="gramEnd"/>
      <w:r w:rsidR="00EC199E">
        <w:rPr>
          <w:rFonts w:eastAsiaTheme="minorEastAsia"/>
          <w:i/>
          <w:iCs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between B2 and C2 </w:t>
      </w:r>
      <w:r w:rsidR="00EC199E">
        <w:rPr>
          <w:rFonts w:eastAsiaTheme="minorEastAsia"/>
          <w:lang w:val="en-US"/>
        </w:rPr>
        <w:t xml:space="preserve">for study </w:t>
      </w:r>
      <w:r w:rsidR="00EC199E" w:rsidRPr="00EC199E">
        <w:rPr>
          <w:rFonts w:eastAsiaTheme="minorEastAsia"/>
          <w:i/>
          <w:iCs/>
          <w:lang w:val="en-US"/>
        </w:rPr>
        <w:t>k</w:t>
      </w:r>
      <w:r w:rsidR="00EC199E">
        <w:rPr>
          <w:rFonts w:eastAsiaTheme="minorEastAsia"/>
          <w:lang w:val="en-US"/>
        </w:rPr>
        <w:t xml:space="preserve"> is computed </w:t>
      </w:r>
      <w:r w:rsidR="009D7D0E">
        <w:rPr>
          <w:rFonts w:eastAsiaTheme="minorEastAsia"/>
          <w:lang w:val="en-US"/>
        </w:rPr>
        <w:t>as in</w:t>
      </w:r>
      <w:r w:rsidR="00EC199E">
        <w:rPr>
          <w:rFonts w:eastAsiaTheme="minorEastAsia"/>
          <w:lang w:val="en-US"/>
        </w:rPr>
        <w:t xml:space="preserve"> </w:t>
      </w:r>
      <w:r w:rsidR="00EC199E" w:rsidRPr="00CE6713">
        <w:rPr>
          <w:rFonts w:eastAsiaTheme="minorEastAsia"/>
          <w:lang w:val="en-US"/>
        </w:rPr>
        <w:t>Bhattacharjee et al. </w:t>
      </w:r>
      <w:r w:rsidR="00EC199E" w:rsidRPr="009D7D0E">
        <w:rPr>
          <w:rFonts w:eastAsiaTheme="minorEastAsia"/>
          <w:lang w:val="en-US"/>
        </w:rPr>
        <w:t>(</w:t>
      </w:r>
      <w:r w:rsidR="00EC199E" w:rsidRPr="00CE6713">
        <w:rPr>
          <w:rFonts w:eastAsiaTheme="minorEastAsia"/>
          <w:lang w:val="en-US"/>
        </w:rPr>
        <w:t>2012</w:t>
      </w:r>
      <w:r w:rsidR="00EC199E" w:rsidRPr="009D7D0E">
        <w:rPr>
          <w:rFonts w:eastAsiaTheme="minorEastAsia"/>
          <w:lang w:val="en-US"/>
        </w:rPr>
        <w:t>)</w:t>
      </w:r>
      <w:r w:rsidR="009D7D0E">
        <w:rPr>
          <w:rFonts w:eastAsiaTheme="minorEastAsia"/>
          <w:lang w:val="en-US"/>
        </w:rPr>
        <w:t>:</w:t>
      </w:r>
      <w:r w:rsidR="00EC199E" w:rsidRPr="009D7D0E">
        <w:rPr>
          <w:rFonts w:eastAsiaTheme="minorEastAsia"/>
          <w:lang w:val="en-US"/>
        </w:rPr>
        <w:t xml:space="preserve"> </w:t>
      </w:r>
    </w:p>
    <w:p w14:paraId="6D980FF7" w14:textId="77777777" w:rsidR="009D7D0E" w:rsidRPr="009D7D0E" w:rsidRDefault="009D7D0E" w:rsidP="00CE6713">
      <w:pPr>
        <w:rPr>
          <w:rFonts w:eastAsiaTheme="minorEastAsia"/>
          <w:lang w:val="en-US"/>
        </w:rPr>
      </w:pPr>
    </w:p>
    <w:p w14:paraId="44AFDDCE" w14:textId="006BE60E" w:rsidR="00BD5C0B" w:rsidRPr="00BD5C0B" w:rsidRDefault="00EC199E" w:rsidP="00BD5C0B">
      <w:pPr>
        <w:ind w:left="2160" w:firstLine="720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B2C2,k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B2,k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  <m:r>
              <w:rPr>
                <w:rFonts w:ascii="Cambria Math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C2,k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  <m:r>
              <w:rPr>
                <w:rFonts w:ascii="Cambria Math" w:hAnsi="Cambria Math"/>
                <w:lang w:val="en-US"/>
              </w:rPr>
              <m:t xml:space="preserve"> </m:t>
            </m:r>
          </m:e>
        </m:rad>
        <m:d>
          <m:d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B2C2,k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B2,k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C2,k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B2C2,k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B2,k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C2,k</m:t>
                    </m:r>
                  </m:sub>
                </m:sSub>
              </m:den>
            </m:f>
          </m:e>
        </m:d>
      </m:oMath>
    </w:p>
    <w:p w14:paraId="2CC92CA7" w14:textId="77777777" w:rsidR="00BD5C0B" w:rsidRDefault="00BD5C0B" w:rsidP="00CE6713">
      <w:pPr>
        <w:rPr>
          <w:lang w:val="en-US"/>
        </w:rPr>
      </w:pPr>
    </w:p>
    <w:p w14:paraId="2D62731F" w14:textId="75E93AF3" w:rsidR="002225D7" w:rsidRPr="00A56FE9" w:rsidRDefault="00BD5C0B" w:rsidP="00CE6713">
      <w:pPr>
        <w:rPr>
          <w:lang w:val="en-US"/>
        </w:rPr>
      </w:pPr>
      <w:r>
        <w:rPr>
          <w:lang w:val="en-US"/>
        </w:rPr>
        <w:t xml:space="preserve">where </w:t>
      </w:r>
      <w:r w:rsidRPr="00BD5C0B">
        <w:rPr>
          <w:i/>
          <w:iCs/>
          <w:lang w:val="en-US"/>
        </w:rPr>
        <w:t>S</w:t>
      </w:r>
      <w:r w:rsidRPr="00BD5C0B">
        <w:rPr>
          <w:i/>
          <w:iCs/>
          <w:vertAlign w:val="subscript"/>
          <w:lang w:val="en-US"/>
        </w:rPr>
        <w:t>B2C</w:t>
      </w:r>
      <w:proofErr w:type="gramStart"/>
      <w:r w:rsidRPr="00BD5C0B">
        <w:rPr>
          <w:i/>
          <w:iCs/>
          <w:vertAlign w:val="subscript"/>
          <w:lang w:val="en-US"/>
        </w:rPr>
        <w:t>2,k</w:t>
      </w:r>
      <w:proofErr w:type="gramEnd"/>
      <w:r>
        <w:rPr>
          <w:lang w:val="en-US"/>
        </w:rPr>
        <w:t xml:space="preserve"> is the number of shared B2 and C2 cases in study k and similarly </w:t>
      </w:r>
      <w:r w:rsidRPr="00BD5C0B">
        <w:rPr>
          <w:i/>
          <w:iCs/>
          <w:lang w:val="en-US"/>
        </w:rPr>
        <w:t>R</w:t>
      </w:r>
      <w:r w:rsidRPr="00BD5C0B">
        <w:rPr>
          <w:i/>
          <w:iCs/>
          <w:vertAlign w:val="subscript"/>
          <w:lang w:val="en-US"/>
        </w:rPr>
        <w:t>B2C2,k</w:t>
      </w:r>
      <w:r>
        <w:rPr>
          <w:lang w:val="en-US"/>
        </w:rPr>
        <w:t xml:space="preserve"> is the number of shared controls.</w:t>
      </w:r>
      <w:r w:rsidR="00A56FE9">
        <w:rPr>
          <w:lang w:val="en-US"/>
        </w:rPr>
        <w:t xml:space="preserve"> By applying this to the data, we estimated </w:t>
      </w:r>
      <w:r w:rsidR="00A56FE9" w:rsidRPr="00EC199E">
        <w:rPr>
          <w:rFonts w:eastAsiaTheme="minorEastAsia"/>
          <w:i/>
          <w:iCs/>
          <w:lang w:val="en-US"/>
        </w:rPr>
        <w:t>r</w:t>
      </w:r>
      <w:r w:rsidR="00A56FE9" w:rsidRPr="00EC199E">
        <w:rPr>
          <w:rFonts w:eastAsiaTheme="minorEastAsia"/>
          <w:i/>
          <w:iCs/>
          <w:vertAlign w:val="subscript"/>
          <w:lang w:val="en-US"/>
        </w:rPr>
        <w:t>B2C2</w:t>
      </w:r>
      <w:r w:rsidR="00A56FE9">
        <w:rPr>
          <w:rFonts w:eastAsiaTheme="minorEastAsia"/>
          <w:i/>
          <w:iCs/>
          <w:lang w:val="en-US"/>
        </w:rPr>
        <w:t xml:space="preserve"> </w:t>
      </w:r>
      <w:r w:rsidR="00A56FE9" w:rsidRPr="00A56FE9">
        <w:rPr>
          <w:rFonts w:eastAsiaTheme="minorEastAsia"/>
          <w:lang w:val="en-US"/>
        </w:rPr>
        <w:t>=</w:t>
      </w:r>
      <w:r w:rsidR="00A56FE9">
        <w:rPr>
          <w:rFonts w:eastAsiaTheme="minorEastAsia"/>
          <w:lang w:val="en-US"/>
        </w:rPr>
        <w:t xml:space="preserve"> 0.45.</w:t>
      </w:r>
    </w:p>
    <w:p w14:paraId="0B3051B5" w14:textId="77777777" w:rsidR="00122E8B" w:rsidRDefault="00122E8B" w:rsidP="00E6161A">
      <w:pPr>
        <w:rPr>
          <w:lang w:val="en-US"/>
        </w:rPr>
      </w:pPr>
    </w:p>
    <w:p w14:paraId="52062340" w14:textId="232B4FFF" w:rsidR="00233C85" w:rsidRDefault="00233C85">
      <w:pPr>
        <w:rPr>
          <w:lang w:val="en-US"/>
        </w:rPr>
      </w:pPr>
      <w:r>
        <w:rPr>
          <w:lang w:val="en-US"/>
        </w:rPr>
        <w:t xml:space="preserve">With these estimates </w:t>
      </w:r>
      <w:r w:rsidR="00132CB2">
        <w:rPr>
          <w:lang w:val="en-US"/>
        </w:rPr>
        <w:t>of</w:t>
      </w:r>
      <w:r>
        <w:rPr>
          <w:lang w:val="en-US"/>
        </w:rPr>
        <w:t xml:space="preserve"> </w:t>
      </w:r>
      <w:proofErr w:type="spellStart"/>
      <w:r w:rsidRPr="00132CB2">
        <w:rPr>
          <w:i/>
          <w:iCs/>
          <w:lang w:val="en-US"/>
        </w:rPr>
        <w:t>w</w:t>
      </w:r>
      <w:r w:rsidRPr="00132CB2">
        <w:rPr>
          <w:i/>
          <w:iCs/>
          <w:vertAlign w:val="subscript"/>
          <w:lang w:val="en-US"/>
        </w:rPr>
        <w:t>SEV</w:t>
      </w:r>
      <w:proofErr w:type="spellEnd"/>
      <w:r w:rsidR="0086067E">
        <w:rPr>
          <w:i/>
          <w:iCs/>
          <w:vertAlign w:val="subscript"/>
          <w:lang w:val="en-US"/>
        </w:rPr>
        <w:t xml:space="preserve"> </w:t>
      </w:r>
      <w:r w:rsidR="0086067E" w:rsidRPr="0086067E">
        <w:rPr>
          <w:lang w:val="en-US"/>
        </w:rPr>
        <w:t>=</w:t>
      </w:r>
      <w:r w:rsidR="0086067E">
        <w:rPr>
          <w:lang w:val="en-US"/>
        </w:rPr>
        <w:t xml:space="preserve"> </w:t>
      </w:r>
      <w:r w:rsidR="0086067E" w:rsidRPr="0086067E">
        <w:rPr>
          <w:lang w:val="en-US"/>
        </w:rPr>
        <w:t>0.2</w:t>
      </w:r>
      <w:r>
        <w:rPr>
          <w:lang w:val="en-US"/>
        </w:rPr>
        <w:t xml:space="preserve"> and </w:t>
      </w:r>
      <w:r w:rsidRPr="00132CB2">
        <w:rPr>
          <w:i/>
          <w:iCs/>
          <w:lang w:val="en-US"/>
        </w:rPr>
        <w:t>r</w:t>
      </w:r>
      <w:r w:rsidRPr="00132CB2">
        <w:rPr>
          <w:i/>
          <w:iCs/>
          <w:vertAlign w:val="subscript"/>
          <w:lang w:val="en-US"/>
        </w:rPr>
        <w:t>B2C2</w:t>
      </w:r>
      <w:r w:rsidR="0086067E">
        <w:rPr>
          <w:lang w:val="en-US"/>
        </w:rPr>
        <w:t xml:space="preserve"> = 0.45</w:t>
      </w:r>
      <w:r w:rsidR="00132CB2"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r w:rsidR="00132CB2">
        <w:rPr>
          <w:lang w:val="en-US"/>
        </w:rPr>
        <w:t xml:space="preserve">and with </w:t>
      </w:r>
      <w:r>
        <w:rPr>
          <w:lang w:val="en-US"/>
        </w:rPr>
        <w:t xml:space="preserve">the observed data at </w:t>
      </w:r>
      <w:r w:rsidR="0086067E">
        <w:rPr>
          <w:lang w:val="en-US"/>
        </w:rPr>
        <w:t xml:space="preserve">any </w:t>
      </w:r>
      <w:r>
        <w:rPr>
          <w:lang w:val="en-US"/>
        </w:rPr>
        <w:t>one SNP con</w:t>
      </w:r>
      <w:r w:rsidR="00132CB2">
        <w:rPr>
          <w:lang w:val="en-US"/>
        </w:rPr>
        <w:t>taining</w:t>
      </w:r>
      <w:r>
        <w:rPr>
          <w:lang w:val="en-US"/>
        </w:rPr>
        <w:t xml:space="preserve"> </w:t>
      </w:r>
      <w:r w:rsidR="00132CB2">
        <w:rPr>
          <w:lang w:val="en-US"/>
        </w:rPr>
        <w:t xml:space="preserve">effect </w:t>
      </w:r>
      <w:r>
        <w:rPr>
          <w:lang w:val="en-US"/>
        </w:rPr>
        <w:t xml:space="preserve">estimates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B2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and their standard errors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B2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C2</m:t>
                </m:r>
              </m:sub>
            </m:sSub>
          </m:e>
        </m:d>
      </m:oMath>
      <w:r w:rsidR="00132CB2">
        <w:rPr>
          <w:rFonts w:eastAsiaTheme="minorEastAsia"/>
          <w:lang w:val="en-US"/>
        </w:rPr>
        <w:t xml:space="preserve">, </w:t>
      </w:r>
      <w:r w:rsidR="00132CB2">
        <w:rPr>
          <w:lang w:val="en-US"/>
        </w:rPr>
        <w:t xml:space="preserve">we derive the two models, </w:t>
      </w:r>
      <w:r w:rsidR="00684799">
        <w:rPr>
          <w:lang w:val="en-US"/>
        </w:rPr>
        <w:t>INF</w:t>
      </w:r>
      <w:r w:rsidR="00132CB2">
        <w:rPr>
          <w:lang w:val="en-US"/>
        </w:rPr>
        <w:t xml:space="preserve"> and SEV, as follows.</w:t>
      </w:r>
    </w:p>
    <w:p w14:paraId="762D48CF" w14:textId="77777777" w:rsidR="00F05D7E" w:rsidRDefault="00F05D7E">
      <w:pPr>
        <w:rPr>
          <w:lang w:val="en-US"/>
        </w:rPr>
      </w:pPr>
    </w:p>
    <w:p w14:paraId="0E81A230" w14:textId="59DC9FC0" w:rsidR="004E2A2F" w:rsidRDefault="00132CB2" w:rsidP="00A56CED">
      <w:pPr>
        <w:rPr>
          <w:lang w:val="en-US"/>
        </w:rPr>
      </w:pPr>
      <w:r>
        <w:rPr>
          <w:lang w:val="en-US"/>
        </w:rPr>
        <w:t>Prior</w:t>
      </w:r>
      <w:r w:rsidR="00F05D7E">
        <w:rPr>
          <w:lang w:val="en-US"/>
        </w:rPr>
        <w:t xml:space="preserve"> distribution for effects is zero-centered bivariate normal distribution</w:t>
      </w:r>
    </w:p>
    <w:p w14:paraId="7FE97BC3" w14:textId="77777777" w:rsidR="00EC1695" w:rsidRDefault="00EC1695" w:rsidP="00A56CED">
      <w:pPr>
        <w:rPr>
          <w:lang w:val="en-US"/>
        </w:rPr>
      </w:pPr>
    </w:p>
    <w:p w14:paraId="31E2CB39" w14:textId="5566246B" w:rsidR="00A56CED" w:rsidRDefault="00DC1806" w:rsidP="004E2A2F">
      <w:pPr>
        <w:jc w:val="center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~N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Bid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  <w:r w:rsidR="00F05D7E">
        <w:rPr>
          <w:rFonts w:eastAsiaTheme="minorEastAsia"/>
          <w:lang w:val="en-US"/>
        </w:rPr>
        <w:t xml:space="preserve"> with</w:t>
      </w:r>
    </w:p>
    <w:p w14:paraId="4A900CBD" w14:textId="77777777" w:rsidR="00EC1695" w:rsidRDefault="00EC1695" w:rsidP="004E2A2F">
      <w:pPr>
        <w:jc w:val="center"/>
        <w:rPr>
          <w:lang w:val="en-US"/>
        </w:rPr>
      </w:pPr>
    </w:p>
    <w:p w14:paraId="5BE8E593" w14:textId="2A35CF33" w:rsidR="004E2A2F" w:rsidRDefault="00DC1806" w:rsidP="004E2A2F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INF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INF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INF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F05D7E">
        <w:rPr>
          <w:rFonts w:eastAsiaTheme="minorEastAsia"/>
          <w:lang w:val="en-US"/>
        </w:rPr>
        <w:t xml:space="preserve"> and</w:t>
      </w:r>
    </w:p>
    <w:p w14:paraId="6EA93BA0" w14:textId="77777777" w:rsidR="00EC1695" w:rsidRDefault="00EC1695" w:rsidP="004E2A2F">
      <w:pPr>
        <w:jc w:val="center"/>
        <w:rPr>
          <w:rFonts w:eastAsiaTheme="minorEastAsia"/>
          <w:lang w:val="en-US"/>
        </w:rPr>
      </w:pPr>
    </w:p>
    <w:p w14:paraId="3B92ACC4" w14:textId="3B3DE113" w:rsidR="00132CB2" w:rsidRDefault="00DC1806" w:rsidP="004E2A2F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SEV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SEV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SEV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A56CED">
        <w:rPr>
          <w:rFonts w:eastAsiaTheme="minorEastAsia"/>
          <w:lang w:val="en-US"/>
        </w:rPr>
        <w:t>.</w:t>
      </w:r>
    </w:p>
    <w:p w14:paraId="4FF06BD8" w14:textId="77777777" w:rsidR="00EC1695" w:rsidRPr="00F05D7E" w:rsidRDefault="00EC1695" w:rsidP="004E2A2F">
      <w:pPr>
        <w:jc w:val="center"/>
        <w:rPr>
          <w:rFonts w:asciiTheme="minorHAnsi" w:eastAsiaTheme="minorHAnsi" w:hAnsiTheme="minorHAnsi" w:cstheme="minorBidi"/>
          <w:lang w:val="en-US"/>
        </w:rPr>
      </w:pPr>
    </w:p>
    <w:p w14:paraId="27526520" w14:textId="41F36EE2" w:rsidR="002E62B0" w:rsidRPr="00374C44" w:rsidRDefault="00A56C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used </w:t>
      </w:r>
      <w:r w:rsidR="00C831BA">
        <w:rPr>
          <w:rFonts w:eastAsiaTheme="minorEastAsia"/>
          <w:lang w:val="en-US"/>
        </w:rPr>
        <w:t>value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τ=0.1</m:t>
        </m:r>
      </m:oMath>
      <w:r>
        <w:rPr>
          <w:rFonts w:eastAsiaTheme="minorEastAsia"/>
          <w:lang w:val="en-US"/>
        </w:rPr>
        <w:t xml:space="preserve"> to define the expected effect sizes of the B2 analysis (implying roughly that 95% of the true effect sizes of the risk variants have odds-ratio below 1.2). </w:t>
      </w:r>
      <w:r w:rsidR="0086067E">
        <w:rPr>
          <w:rFonts w:eastAsiaTheme="minorEastAsia"/>
          <w:lang w:val="en-US"/>
        </w:rPr>
        <w:t xml:space="preserve">By tuning the </w:t>
      </w:r>
      <w:r w:rsidR="00E5763D">
        <w:rPr>
          <w:rFonts w:eastAsiaTheme="minorEastAsia"/>
          <w:lang w:val="en-US"/>
        </w:rPr>
        <w:t>p</w:t>
      </w:r>
      <w:r>
        <w:rPr>
          <w:rFonts w:eastAsiaTheme="minorEastAsia"/>
          <w:lang w:val="en-US"/>
        </w:rPr>
        <w:t xml:space="preserve">arameters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INF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SEV</m:t>
            </m:r>
          </m:sub>
        </m:sSub>
      </m:oMath>
      <w:r w:rsidR="008E3B68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w:r w:rsidR="00E5763D">
        <w:rPr>
          <w:rFonts w:eastAsiaTheme="minorEastAsia"/>
          <w:lang w:val="en-US"/>
        </w:rPr>
        <w:t xml:space="preserve">we </w:t>
      </w:r>
      <w:r w:rsidR="0086067E">
        <w:rPr>
          <w:rFonts w:eastAsiaTheme="minorEastAsia"/>
          <w:lang w:val="en-US"/>
        </w:rPr>
        <w:t xml:space="preserve">can define how much deviation </w:t>
      </w:r>
      <w:r w:rsidR="008B5246">
        <w:rPr>
          <w:rFonts w:eastAsiaTheme="minorEastAsia"/>
          <w:lang w:val="en-US"/>
        </w:rPr>
        <w:t xml:space="preserve">real effects </w:t>
      </w:r>
      <w:r w:rsidR="0086067E">
        <w:rPr>
          <w:rFonts w:eastAsiaTheme="minorEastAsia"/>
          <w:lang w:val="en-US"/>
        </w:rPr>
        <w:t xml:space="preserve">can have </w:t>
      </w:r>
      <w:r>
        <w:rPr>
          <w:rFonts w:eastAsiaTheme="minorEastAsia"/>
          <w:lang w:val="en-US"/>
        </w:rPr>
        <w:t xml:space="preserve">from the </w:t>
      </w:r>
      <w:r w:rsidR="00AF28B3">
        <w:rPr>
          <w:rFonts w:eastAsiaTheme="minorEastAsia"/>
          <w:lang w:val="en-US"/>
        </w:rPr>
        <w:t>theoretical relationships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B2</m:t>
            </m:r>
          </m:sub>
        </m:sSub>
      </m:oMath>
      <w:r w:rsidR="0086067E">
        <w:rPr>
          <w:rFonts w:eastAsiaTheme="minorEastAsia"/>
          <w:lang w:val="en-US"/>
        </w:rPr>
        <w:t xml:space="preserve"> and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SEV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B2</m:t>
            </m:r>
          </m:sub>
        </m:sSub>
      </m:oMath>
      <w:r>
        <w:rPr>
          <w:rFonts w:eastAsiaTheme="minorEastAsia"/>
          <w:lang w:val="en-US"/>
        </w:rPr>
        <w:t xml:space="preserve"> corresponding to models </w:t>
      </w:r>
      <w:r w:rsidR="00035D6C">
        <w:rPr>
          <w:rFonts w:eastAsiaTheme="minorEastAsia"/>
          <w:lang w:val="en-US"/>
        </w:rPr>
        <w:t>INF</w:t>
      </w:r>
      <w:r>
        <w:rPr>
          <w:rFonts w:eastAsiaTheme="minorEastAsia"/>
          <w:lang w:val="en-US"/>
        </w:rPr>
        <w:t xml:space="preserve"> and SEV, respectively. We have set these </w:t>
      </w:r>
      <w:r w:rsidR="00C831BA">
        <w:rPr>
          <w:rFonts w:eastAsiaTheme="minorEastAsia"/>
          <w:lang w:val="en-US"/>
        </w:rPr>
        <w:t xml:space="preserve">values </w:t>
      </w:r>
      <w:r w:rsidR="008E3B68">
        <w:rPr>
          <w:rFonts w:eastAsiaTheme="minorEastAsia"/>
          <w:lang w:val="en-US"/>
        </w:rPr>
        <w:t>in such a way</w:t>
      </w:r>
      <w:r w:rsidR="00C831BA">
        <w:rPr>
          <w:rFonts w:eastAsiaTheme="minorEastAsia"/>
          <w:lang w:val="en-US"/>
        </w:rPr>
        <w:t xml:space="preserve"> that, under both models, the mean (Euclidean) distance between the effect size and the corresponding line is 0.0025 and 95% of </w:t>
      </w:r>
      <w:r w:rsidR="00AF28B3">
        <w:rPr>
          <w:rFonts w:eastAsiaTheme="minorEastAsia"/>
          <w:lang w:val="en-US"/>
        </w:rPr>
        <w:t xml:space="preserve">the </w:t>
      </w:r>
      <w:r w:rsidR="00C831BA">
        <w:rPr>
          <w:rFonts w:eastAsiaTheme="minorEastAsia"/>
          <w:lang w:val="en-US"/>
        </w:rPr>
        <w:t>effects are within 0.006 units from the line</w:t>
      </w:r>
      <w:r w:rsidR="008B5246">
        <w:rPr>
          <w:rFonts w:eastAsiaTheme="minorEastAsia"/>
          <w:lang w:val="en-US"/>
        </w:rPr>
        <w:t>.</w:t>
      </w:r>
      <w:r w:rsidR="00C831BA">
        <w:rPr>
          <w:rFonts w:eastAsiaTheme="minorEastAsia"/>
          <w:lang w:val="en-US"/>
        </w:rPr>
        <w:t xml:space="preserve"> </w:t>
      </w:r>
      <w:r w:rsidR="008B5246">
        <w:rPr>
          <w:rFonts w:eastAsiaTheme="minorEastAsia"/>
          <w:lang w:val="en-US"/>
        </w:rPr>
        <w:t xml:space="preserve">This happens when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INF</m:t>
            </m:r>
          </m:sub>
        </m:sSub>
        <m:r>
          <w:rPr>
            <w:rFonts w:ascii="Cambria Math" w:eastAsiaTheme="minorEastAsia" w:hAnsi="Cambria Math"/>
            <w:lang w:val="en-US"/>
          </w:rPr>
          <m:t>=0.001</m:t>
        </m:r>
      </m:oMath>
      <w:r w:rsidR="00C831B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SEV</m:t>
            </m:r>
          </m:sub>
        </m:sSub>
        <m:r>
          <w:rPr>
            <w:rFonts w:ascii="Cambria Math" w:eastAsiaTheme="minorEastAsia" w:hAnsi="Cambria Math"/>
            <w:lang w:val="en-US"/>
          </w:rPr>
          <m:t>=0.013</m:t>
        </m:r>
      </m:oMath>
      <w:r w:rsidR="00C831BA">
        <w:rPr>
          <w:rFonts w:eastAsiaTheme="minorEastAsia"/>
          <w:lang w:val="en-US"/>
        </w:rPr>
        <w:t>.</w:t>
      </w:r>
      <w:r w:rsidR="00AF28B3">
        <w:rPr>
          <w:rFonts w:eastAsiaTheme="minorEastAsia"/>
          <w:lang w:val="en-US"/>
        </w:rPr>
        <w:t xml:space="preserve"> </w:t>
      </w:r>
    </w:p>
    <w:p w14:paraId="199C1AB4" w14:textId="77777777" w:rsidR="002E62B0" w:rsidRDefault="002E62B0">
      <w:pPr>
        <w:rPr>
          <w:lang w:val="en-US"/>
        </w:rPr>
      </w:pPr>
    </w:p>
    <w:p w14:paraId="5EF71ED1" w14:textId="1EFE374C" w:rsidR="000953AA" w:rsidRDefault="00E5763D">
      <w:pPr>
        <w:rPr>
          <w:lang w:val="en-US"/>
        </w:rPr>
      </w:pPr>
      <w:r>
        <w:rPr>
          <w:lang w:val="en-US"/>
        </w:rPr>
        <w:t xml:space="preserve">The likelihood for the observed data under both models is Gaussian </w:t>
      </w:r>
    </w:p>
    <w:p w14:paraId="74396B77" w14:textId="77777777" w:rsidR="00EC1695" w:rsidRDefault="00EC1695">
      <w:pPr>
        <w:rPr>
          <w:lang w:val="en-US"/>
        </w:rPr>
      </w:pPr>
    </w:p>
    <w:p w14:paraId="6D706605" w14:textId="68740941" w:rsidR="00E5763D" w:rsidRPr="00E5763D" w:rsidRDefault="00DC1806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Bidi"/>
                  <w:i/>
                  <w:lang w:val="en-US" w:eastAsia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Bidi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~N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lang w:val="en-US" w:eastAsia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</m:d>
          <m:r>
            <w:rPr>
              <w:rFonts w:ascii="Cambria Math" w:eastAsiaTheme="minorEastAsia" w:hAnsi="Cambria Math" w:cstheme="minorBidi"/>
              <w:lang w:val="en-US" w:eastAsia="en-US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 w:cstheme="minorBidi"/>
              <w:lang w:val="en-US" w:eastAsia="en-US"/>
            </w:rPr>
            <m:t>where</m:t>
          </m:r>
          <m:r>
            <w:rPr>
              <w:rFonts w:ascii="Cambria Math" w:eastAsiaTheme="minorEastAsia" w:hAnsi="Cambria Math" w:cstheme="minorBidi"/>
              <w:lang w:val="en-US"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lang w:val="en-US" w:eastAsia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B2C2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B2C2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. </m:t>
          </m:r>
        </m:oMath>
      </m:oMathPara>
    </w:p>
    <w:p w14:paraId="13845410" w14:textId="5699956B" w:rsidR="00E5763D" w:rsidRDefault="00E5763D">
      <w:pPr>
        <w:rPr>
          <w:rFonts w:eastAsiaTheme="minorEastAsia"/>
          <w:lang w:val="en-US"/>
        </w:rPr>
      </w:pPr>
    </w:p>
    <w:p w14:paraId="5D061F22" w14:textId="2DC89BFE" w:rsidR="00E5763D" w:rsidRDefault="00E576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follows </w:t>
      </w:r>
      <w:r w:rsidR="00F6542F">
        <w:rPr>
          <w:rFonts w:eastAsiaTheme="minorEastAsia"/>
          <w:lang w:val="en-US"/>
        </w:rPr>
        <w:t xml:space="preserve">from </w:t>
      </w:r>
      <w:proofErr w:type="spellStart"/>
      <w:r w:rsidR="00F6542F">
        <w:rPr>
          <w:rFonts w:eastAsiaTheme="minorEastAsia"/>
          <w:lang w:val="en-US"/>
        </w:rPr>
        <w:t>Trochet</w:t>
      </w:r>
      <w:proofErr w:type="spellEnd"/>
      <w:r w:rsidR="00F6542F">
        <w:rPr>
          <w:rFonts w:eastAsiaTheme="minorEastAsia"/>
          <w:lang w:val="en-US"/>
        </w:rPr>
        <w:t xml:space="preserve"> et al. (2019) </w:t>
      </w:r>
      <w:r>
        <w:rPr>
          <w:rFonts w:eastAsiaTheme="minorEastAsia"/>
          <w:lang w:val="en-US"/>
        </w:rPr>
        <w:t xml:space="preserve">that </w:t>
      </w:r>
      <w:r w:rsidR="00AF28B3">
        <w:rPr>
          <w:rFonts w:eastAsiaTheme="minorEastAsia"/>
          <w:lang w:val="en-US"/>
        </w:rPr>
        <w:t xml:space="preserve">we can analytically integrate the likelihood with respect to the prior distributions and </w:t>
      </w:r>
      <w:r>
        <w:rPr>
          <w:rFonts w:eastAsiaTheme="minorEastAsia"/>
          <w:lang w:val="en-US"/>
        </w:rPr>
        <w:t xml:space="preserve">the </w:t>
      </w:r>
      <w:r w:rsidR="00AF28B3">
        <w:rPr>
          <w:rFonts w:eastAsiaTheme="minorEastAsia"/>
          <w:lang w:val="en-US"/>
        </w:rPr>
        <w:t xml:space="preserve">resulting </w:t>
      </w:r>
      <w:r>
        <w:rPr>
          <w:rFonts w:eastAsiaTheme="minorEastAsia"/>
          <w:lang w:val="en-US"/>
        </w:rPr>
        <w:t>marginal likelihood for each model is proportional to a Gaussian density function</w:t>
      </w:r>
      <w:r w:rsidR="00F6542F">
        <w:rPr>
          <w:rFonts w:eastAsiaTheme="minorEastAsia"/>
          <w:lang w:val="en-US"/>
        </w:rPr>
        <w:t xml:space="preserve"> evaluated at the observed effect size estimates as</w:t>
      </w:r>
    </w:p>
    <w:p w14:paraId="174378F6" w14:textId="77777777" w:rsidR="00EC1695" w:rsidRDefault="00EC1695">
      <w:pPr>
        <w:rPr>
          <w:rFonts w:eastAsiaTheme="minorEastAsia"/>
          <w:lang w:val="en-US"/>
        </w:rPr>
      </w:pPr>
    </w:p>
    <w:p w14:paraId="54599421" w14:textId="7704E2FE" w:rsidR="00F6542F" w:rsidRDefault="00DC1806" w:rsidP="00F6542F">
      <w:pPr>
        <w:jc w:val="center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DATA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</m:e>
        </m:func>
        <m:r>
          <m:rPr>
            <m:nor/>
          </m:rPr>
          <w:rPr>
            <w:rFonts w:ascii="Cambria Math" w:eastAsiaTheme="minorEastAsia" w:hAnsi="Cambria Math"/>
            <w:lang w:val="en-US"/>
          </w:rPr>
          <m:t>Model</m:t>
        </m:r>
        <m:r>
          <w:rPr>
            <w:rFonts w:ascii="Cambria Math" w:eastAsiaTheme="minorEastAsia" w:hAnsi="Cambria Math"/>
            <w:lang w:val="en-US"/>
          </w:rPr>
          <m:t xml:space="preserve"> i) ∝ </m:t>
        </m:r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Bidi"/>
                        <w:i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; 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Bid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r>
              <w:rPr>
                <w:rFonts w:ascii="Cambria Math" w:eastAsiaTheme="minorEastAsia" w:hAnsi="Cambria Math"/>
                <w:lang w:val="en-US"/>
              </w:rPr>
              <m:t xml:space="preserve">  </m:t>
            </m:r>
          </m:e>
        </m:d>
      </m:oMath>
      <w:r w:rsidR="00F6542F">
        <w:rPr>
          <w:rFonts w:eastAsiaTheme="minorEastAsia"/>
          <w:lang w:val="en-US"/>
        </w:rPr>
        <w:t>.</w:t>
      </w:r>
    </w:p>
    <w:p w14:paraId="05D6B9CC" w14:textId="11852D07" w:rsidR="00E5763D" w:rsidRDefault="00E5763D">
      <w:pPr>
        <w:rPr>
          <w:lang w:val="en-US"/>
        </w:rPr>
      </w:pPr>
    </w:p>
    <w:p w14:paraId="3D1D17AC" w14:textId="28D3B766" w:rsidR="00F6542F" w:rsidRDefault="00226FB1">
      <w:pPr>
        <w:rPr>
          <w:lang w:val="en-US"/>
        </w:rPr>
      </w:pPr>
      <w:r>
        <w:rPr>
          <w:lang w:val="en-US"/>
        </w:rPr>
        <w:t>W</w:t>
      </w:r>
      <w:r w:rsidR="00F6542F">
        <w:rPr>
          <w:lang w:val="en-US"/>
        </w:rPr>
        <w:t>e set equal prior probability on each model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50% on </w:t>
      </w:r>
      <w:r w:rsidR="00035D6C">
        <w:rPr>
          <w:lang w:val="en-US"/>
        </w:rPr>
        <w:t>INF</w:t>
      </w:r>
      <w:r>
        <w:rPr>
          <w:lang w:val="en-US"/>
        </w:rPr>
        <w:t xml:space="preserve"> and 50% on SEV)</w:t>
      </w:r>
      <w:r w:rsidR="00F6542F">
        <w:rPr>
          <w:lang w:val="en-US"/>
        </w:rPr>
        <w:t xml:space="preserve">, </w:t>
      </w:r>
      <w:r>
        <w:rPr>
          <w:lang w:val="en-US"/>
        </w:rPr>
        <w:t>and</w:t>
      </w:r>
      <w:r w:rsidR="00F6542F">
        <w:rPr>
          <w:lang w:val="en-US"/>
        </w:rPr>
        <w:t xml:space="preserve"> </w:t>
      </w:r>
      <w:r>
        <w:rPr>
          <w:lang w:val="en-US"/>
        </w:rPr>
        <w:t xml:space="preserve">consequently </w:t>
      </w:r>
      <w:r w:rsidR="00F6542F">
        <w:rPr>
          <w:lang w:val="en-US"/>
        </w:rPr>
        <w:t xml:space="preserve">the posterior probabilities of the models will be proportional to their marginal likelihoods. </w:t>
      </w:r>
      <w:r>
        <w:rPr>
          <w:lang w:val="en-US"/>
        </w:rPr>
        <w:t>These posterior probabilities are reported in</w:t>
      </w:r>
      <w:r w:rsidR="00A93DF4">
        <w:rPr>
          <w:lang w:val="en-US"/>
        </w:rPr>
        <w:t xml:space="preserve"> “</w:t>
      </w:r>
      <w:r w:rsidR="00A93DF4" w:rsidRPr="00A93DF4">
        <w:rPr>
          <w:lang w:val="en-US"/>
        </w:rPr>
        <w:t>covid_hgi_v6_topvariants_prob</w:t>
      </w:r>
      <w:r w:rsidR="00A93DF4">
        <w:rPr>
          <w:lang w:val="en-US"/>
        </w:rPr>
        <w:t>.txt”</w:t>
      </w:r>
      <w:r>
        <w:rPr>
          <w:lang w:val="en-US"/>
        </w:rPr>
        <w:t>.</w:t>
      </w:r>
    </w:p>
    <w:p w14:paraId="6BB913D5" w14:textId="363ABE21" w:rsidR="00ED7032" w:rsidRDefault="00ED7032">
      <w:pPr>
        <w:rPr>
          <w:lang w:val="en-US"/>
        </w:rPr>
      </w:pPr>
    </w:p>
    <w:p w14:paraId="37627D7F" w14:textId="789D7615" w:rsidR="00ED7032" w:rsidRPr="00ED7032" w:rsidRDefault="00ED7032" w:rsidP="00ED7032">
      <w:pPr>
        <w:rPr>
          <w:lang w:val="en-US"/>
        </w:rPr>
      </w:pPr>
      <w:r>
        <w:rPr>
          <w:lang w:val="en-US"/>
        </w:rPr>
        <w:t>A limitation of this approach is that it classifies every variant between the two fixed models INF and SEV without considering a possibility that the variant might not fit either of these two models very well. We have chosen this approach since, based on the data shown in Figure</w:t>
      </w:r>
      <w:r w:rsidR="00A93DF4">
        <w:rPr>
          <w:lang w:val="en-US"/>
        </w:rPr>
        <w:t xml:space="preserve"> “</w:t>
      </w:r>
      <w:r w:rsidR="00A93DF4" w:rsidRPr="00A93DF4">
        <w:rPr>
          <w:lang w:val="en-US"/>
        </w:rPr>
        <w:t>covid_hgi_v6_b2_c2_effects_plot</w:t>
      </w:r>
      <w:r w:rsidR="00A93DF4">
        <w:rPr>
          <w:lang w:val="en-US"/>
        </w:rPr>
        <w:t>.pdf”</w:t>
      </w:r>
      <w:r>
        <w:rPr>
          <w:lang w:val="en-US"/>
        </w:rPr>
        <w:t xml:space="preserve">, a large majority of the variants are well aligned with either INF or SEV model. Consequently, </w:t>
      </w:r>
      <w:r w:rsidRPr="00ED7032">
        <w:rPr>
          <w:lang w:val="en-US"/>
        </w:rPr>
        <w:t xml:space="preserve">we </w:t>
      </w:r>
      <w:r w:rsidR="00051E49">
        <w:rPr>
          <w:lang w:val="en-US"/>
        </w:rPr>
        <w:t>kep</w:t>
      </w:r>
      <w:r w:rsidR="006960CA">
        <w:rPr>
          <w:lang w:val="en-US"/>
        </w:rPr>
        <w:t>t</w:t>
      </w:r>
      <w:r w:rsidR="00051E49">
        <w:rPr>
          <w:lang w:val="en-US"/>
        </w:rPr>
        <w:t xml:space="preserve"> this model comparison simple and only between INF and SEV rather than complicate</w:t>
      </w:r>
      <w:r w:rsidR="006960CA">
        <w:rPr>
          <w:lang w:val="en-US"/>
        </w:rPr>
        <w:t>d</w:t>
      </w:r>
      <w:r w:rsidR="00051E49">
        <w:rPr>
          <w:lang w:val="en-US"/>
        </w:rPr>
        <w:t xml:space="preserve"> it by inclusion of some additional models that would have little support from the observed data</w:t>
      </w:r>
      <w:r>
        <w:rPr>
          <w:lang w:val="en-US"/>
        </w:rPr>
        <w:t>.</w:t>
      </w:r>
    </w:p>
    <w:p w14:paraId="069CCA30" w14:textId="58752F8D" w:rsidR="00ED7032" w:rsidRPr="00051E49" w:rsidRDefault="00ED7032">
      <w:pPr>
        <w:rPr>
          <w:lang w:val="en-US"/>
        </w:rPr>
      </w:pPr>
    </w:p>
    <w:p w14:paraId="68779888" w14:textId="77777777" w:rsidR="00F83696" w:rsidRDefault="00F83696">
      <w:pPr>
        <w:rPr>
          <w:lang w:val="en-US"/>
        </w:rPr>
      </w:pPr>
    </w:p>
    <w:p w14:paraId="138FD949" w14:textId="108F78EC" w:rsidR="009D7D0E" w:rsidRDefault="009D7D0E">
      <w:pPr>
        <w:rPr>
          <w:lang w:val="en-US"/>
        </w:rPr>
      </w:pPr>
    </w:p>
    <w:p w14:paraId="0494A5C8" w14:textId="77777777" w:rsidR="009D7D0E" w:rsidRDefault="009D7D0E" w:rsidP="009D7D0E">
      <w:pPr>
        <w:pStyle w:val="ListParagraph"/>
        <w:numPr>
          <w:ilvl w:val="0"/>
          <w:numId w:val="1"/>
        </w:numPr>
      </w:pPr>
      <w:r>
        <w:t>Bhattacharjee S, Rajaraman P, Jacobs KB, Wheeler WA, Melin BS, Hartge P; GliomaScan Consortium, Yeager M, Chung CC, Chanock SJ, Chatterjee N. A subset-based approach improves power and interpretation for the combined analysis of genetic association studies of heterogeneous traits. Am J Hum Genet. 2012 May 4;90(5):821-35. doi: 10.1016/j.ajhg.2012.03.015. PMID: 22560090; PMCID: PMC3376551.</w:t>
      </w:r>
    </w:p>
    <w:p w14:paraId="195E9CA8" w14:textId="77777777" w:rsidR="009D7D0E" w:rsidRDefault="009D7D0E" w:rsidP="009D7D0E">
      <w:pPr>
        <w:rPr>
          <w:rStyle w:val="Emphasis"/>
          <w:rFonts w:cs="Arial"/>
          <w:i w:val="0"/>
          <w:iCs w:val="0"/>
        </w:rPr>
      </w:pPr>
    </w:p>
    <w:p w14:paraId="15C96633" w14:textId="55F0FE74" w:rsidR="009D7D0E" w:rsidRPr="009D7D0E" w:rsidRDefault="009D7D0E" w:rsidP="009D7D0E">
      <w:pPr>
        <w:numPr>
          <w:ilvl w:val="0"/>
          <w:numId w:val="1"/>
        </w:numPr>
        <w:rPr>
          <w:rStyle w:val="Emphasis"/>
          <w:rFonts w:cs="Arial"/>
          <w:i w:val="0"/>
          <w:iCs w:val="0"/>
        </w:rPr>
      </w:pPr>
      <w:r w:rsidRPr="009D7D0E">
        <w:rPr>
          <w:rStyle w:val="Emphasis"/>
          <w:rFonts w:cs="Arial"/>
          <w:i w:val="0"/>
          <w:iCs w:val="0"/>
        </w:rPr>
        <w:t xml:space="preserve">Trochet H, </w:t>
      </w:r>
      <w:r w:rsidRPr="009D7D0E">
        <w:rPr>
          <w:rStyle w:val="Emphasis"/>
          <w:rFonts w:cs="Arial"/>
          <w:bCs/>
          <w:i w:val="0"/>
          <w:iCs w:val="0"/>
        </w:rPr>
        <w:t>Pirinen M</w:t>
      </w:r>
      <w:r w:rsidRPr="009D7D0E">
        <w:rPr>
          <w:rStyle w:val="Emphasis"/>
          <w:rFonts w:cs="Arial"/>
          <w:i w:val="0"/>
          <w:iCs w:val="0"/>
        </w:rPr>
        <w:t xml:space="preserve">, Band G, Jostins L, McVean G, Spencer CCA. </w:t>
      </w:r>
      <w:r w:rsidRPr="009D7D0E">
        <w:rPr>
          <w:rStyle w:val="Emphasis"/>
          <w:rFonts w:cs="Arial"/>
          <w:bCs/>
          <w:i w:val="0"/>
          <w:iCs w:val="0"/>
        </w:rPr>
        <w:t>(2019)</w:t>
      </w:r>
      <w:r w:rsidRPr="009D7D0E">
        <w:rPr>
          <w:rStyle w:val="Emphasis"/>
          <w:rFonts w:cs="Arial"/>
          <w:i w:val="0"/>
          <w:iCs w:val="0"/>
        </w:rPr>
        <w:t>:</w:t>
      </w:r>
    </w:p>
    <w:p w14:paraId="6A628060" w14:textId="718B48FE" w:rsidR="009D7D0E" w:rsidRDefault="009D7D0E" w:rsidP="009D7D0E">
      <w:pPr>
        <w:ind w:left="720"/>
        <w:rPr>
          <w:rStyle w:val="Emphasis"/>
          <w:rFonts w:cs="Arial"/>
        </w:rPr>
      </w:pPr>
      <w:r w:rsidRPr="009D7D0E">
        <w:rPr>
          <w:rStyle w:val="Emphasis"/>
          <w:rFonts w:cs="Arial"/>
          <w:i w:val="0"/>
          <w:iCs w:val="0"/>
        </w:rPr>
        <w:t>Bayesian meta</w:t>
      </w:r>
      <w:r w:rsidRPr="009D7D0E">
        <w:rPr>
          <w:rStyle w:val="Emphasis"/>
          <w:rFonts w:ascii="Cambria Math" w:hAnsi="Cambria Math" w:cs="Cambria Math"/>
          <w:i w:val="0"/>
          <w:iCs w:val="0"/>
        </w:rPr>
        <w:t>‐</w:t>
      </w:r>
      <w:r w:rsidRPr="009D7D0E">
        <w:rPr>
          <w:rStyle w:val="Emphasis"/>
          <w:rFonts w:cs="Arial"/>
          <w:i w:val="0"/>
          <w:iCs w:val="0"/>
        </w:rPr>
        <w:t>analysis across genome</w:t>
      </w:r>
      <w:r w:rsidRPr="009D7D0E">
        <w:rPr>
          <w:rStyle w:val="Emphasis"/>
          <w:rFonts w:ascii="Cambria Math" w:hAnsi="Cambria Math" w:cs="Cambria Math"/>
          <w:i w:val="0"/>
          <w:iCs w:val="0"/>
        </w:rPr>
        <w:t>‐</w:t>
      </w:r>
      <w:r w:rsidRPr="009D7D0E">
        <w:rPr>
          <w:rStyle w:val="Emphasis"/>
          <w:rFonts w:cs="Arial"/>
          <w:i w:val="0"/>
          <w:iCs w:val="0"/>
        </w:rPr>
        <w:t>wide association studies of diverse phenotypes.</w:t>
      </w:r>
      <w:r>
        <w:rPr>
          <w:rStyle w:val="Emphasis"/>
          <w:rFonts w:cs="Arial"/>
        </w:rPr>
        <w:t xml:space="preserve"> </w:t>
      </w:r>
      <w:r w:rsidRPr="00921DCB">
        <w:rPr>
          <w:rStyle w:val="Emphasis"/>
          <w:rFonts w:cs="Arial"/>
          <w:bCs/>
        </w:rPr>
        <w:t>Genetic Epidemiology</w:t>
      </w:r>
      <w:r w:rsidRPr="009D7D0E">
        <w:rPr>
          <w:rStyle w:val="Emphasis"/>
          <w:rFonts w:cs="Arial"/>
          <w:bCs/>
          <w:i w:val="0"/>
          <w:iCs w:val="0"/>
        </w:rPr>
        <w:t>,</w:t>
      </w:r>
      <w:r w:rsidRPr="009D7D0E">
        <w:rPr>
          <w:rStyle w:val="Emphasis"/>
          <w:rFonts w:cs="Arial"/>
          <w:b/>
          <w:i w:val="0"/>
          <w:iCs w:val="0"/>
        </w:rPr>
        <w:t xml:space="preserve"> </w:t>
      </w:r>
      <w:r w:rsidRPr="009D7D0E">
        <w:rPr>
          <w:rStyle w:val="Emphasis"/>
          <w:rFonts w:cs="Arial"/>
          <w:i w:val="0"/>
          <w:iCs w:val="0"/>
        </w:rPr>
        <w:t>43: 532-547</w:t>
      </w:r>
      <w:r>
        <w:rPr>
          <w:rStyle w:val="Emphasis"/>
          <w:rFonts w:cs="Arial"/>
        </w:rPr>
        <w:t>.</w:t>
      </w:r>
    </w:p>
    <w:p w14:paraId="6B1EC070" w14:textId="6AD48635" w:rsidR="009D7D0E" w:rsidRPr="0086067E" w:rsidRDefault="00DC1806" w:rsidP="0086067E">
      <w:pPr>
        <w:ind w:firstLine="720"/>
      </w:pPr>
      <w:hyperlink r:id="rId6" w:history="1">
        <w:r w:rsidR="009D7D0E" w:rsidRPr="009D7D0E">
          <w:rPr>
            <w:rStyle w:val="Hyperlink"/>
          </w:rPr>
          <w:t>https://doi.org/10.1002/gepi.22202</w:t>
        </w:r>
      </w:hyperlink>
    </w:p>
    <w:sectPr w:rsidR="009D7D0E" w:rsidRPr="0086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1991"/>
    <w:multiLevelType w:val="hybridMultilevel"/>
    <w:tmpl w:val="6C662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90"/>
    <w:rsid w:val="00004BCD"/>
    <w:rsid w:val="00035D6C"/>
    <w:rsid w:val="00043C63"/>
    <w:rsid w:val="00051E49"/>
    <w:rsid w:val="000953AA"/>
    <w:rsid w:val="00122E8B"/>
    <w:rsid w:val="00132CB2"/>
    <w:rsid w:val="001334A0"/>
    <w:rsid w:val="00180ADD"/>
    <w:rsid w:val="001A609D"/>
    <w:rsid w:val="001E0A25"/>
    <w:rsid w:val="002225D7"/>
    <w:rsid w:val="00226FB1"/>
    <w:rsid w:val="00233C85"/>
    <w:rsid w:val="0026108B"/>
    <w:rsid w:val="002744C8"/>
    <w:rsid w:val="002A7807"/>
    <w:rsid w:val="002E62B0"/>
    <w:rsid w:val="003435D5"/>
    <w:rsid w:val="00371C2A"/>
    <w:rsid w:val="00374C44"/>
    <w:rsid w:val="003829A4"/>
    <w:rsid w:val="00427CA2"/>
    <w:rsid w:val="00430DFA"/>
    <w:rsid w:val="0045693C"/>
    <w:rsid w:val="004A3870"/>
    <w:rsid w:val="004E2A2F"/>
    <w:rsid w:val="00515190"/>
    <w:rsid w:val="005752AF"/>
    <w:rsid w:val="005D30AB"/>
    <w:rsid w:val="00666848"/>
    <w:rsid w:val="006769E1"/>
    <w:rsid w:val="00683247"/>
    <w:rsid w:val="00684799"/>
    <w:rsid w:val="006960CA"/>
    <w:rsid w:val="006C59BB"/>
    <w:rsid w:val="00726EB5"/>
    <w:rsid w:val="007C3013"/>
    <w:rsid w:val="00855C2D"/>
    <w:rsid w:val="0086067E"/>
    <w:rsid w:val="008B5246"/>
    <w:rsid w:val="008E3B68"/>
    <w:rsid w:val="00945004"/>
    <w:rsid w:val="009D5250"/>
    <w:rsid w:val="009D7D0E"/>
    <w:rsid w:val="00A12647"/>
    <w:rsid w:val="00A56CED"/>
    <w:rsid w:val="00A56FE9"/>
    <w:rsid w:val="00A6637C"/>
    <w:rsid w:val="00A67F61"/>
    <w:rsid w:val="00A93DF4"/>
    <w:rsid w:val="00AF0AFD"/>
    <w:rsid w:val="00AF28B3"/>
    <w:rsid w:val="00B01C80"/>
    <w:rsid w:val="00B11500"/>
    <w:rsid w:val="00B44BDE"/>
    <w:rsid w:val="00B7558F"/>
    <w:rsid w:val="00BC5697"/>
    <w:rsid w:val="00BD50B1"/>
    <w:rsid w:val="00BD5C0B"/>
    <w:rsid w:val="00BF6886"/>
    <w:rsid w:val="00C12542"/>
    <w:rsid w:val="00C2630D"/>
    <w:rsid w:val="00C65477"/>
    <w:rsid w:val="00C8275E"/>
    <w:rsid w:val="00C831BA"/>
    <w:rsid w:val="00C92060"/>
    <w:rsid w:val="00CE6713"/>
    <w:rsid w:val="00DC1806"/>
    <w:rsid w:val="00E5763D"/>
    <w:rsid w:val="00E6161A"/>
    <w:rsid w:val="00EC1695"/>
    <w:rsid w:val="00EC199E"/>
    <w:rsid w:val="00ED7032"/>
    <w:rsid w:val="00F05D7E"/>
    <w:rsid w:val="00F6542F"/>
    <w:rsid w:val="00F8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BEB91"/>
  <w15:chartTrackingRefBased/>
  <w15:docId w15:val="{C0FD9DA1-8F26-3B42-ABD2-ACCB0E20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D0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25D7"/>
    <w:rPr>
      <w:color w:val="808080"/>
    </w:rPr>
  </w:style>
  <w:style w:type="character" w:styleId="Emphasis">
    <w:name w:val="Emphasis"/>
    <w:basedOn w:val="DefaultParagraphFont"/>
    <w:qFormat/>
    <w:rsid w:val="009D7D0E"/>
    <w:rPr>
      <w:i/>
      <w:iCs/>
    </w:rPr>
  </w:style>
  <w:style w:type="character" w:styleId="Hyperlink">
    <w:name w:val="Hyperlink"/>
    <w:basedOn w:val="DefaultParagraphFont"/>
    <w:uiPriority w:val="99"/>
    <w:unhideWhenUsed/>
    <w:rsid w:val="009D7D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D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D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6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9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9E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9E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gepi.22202" TargetMode="External"/><Relationship Id="rId5" Type="http://schemas.openxmlformats.org/officeDocument/2006/relationships/hyperlink" Target="mailto:matti.pirinen@helsin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Pirinen, Matti J</dc:creator>
  <cp:keywords/>
  <dc:description/>
  <cp:lastModifiedBy>Pirinen, Matti J</cp:lastModifiedBy>
  <cp:revision>10</cp:revision>
  <dcterms:created xsi:type="dcterms:W3CDTF">2021-12-02T21:10:00Z</dcterms:created>
  <dcterms:modified xsi:type="dcterms:W3CDTF">2021-12-03T22:12:00Z</dcterms:modified>
</cp:coreProperties>
</file>