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张江丽</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3</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张江丽</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17864275823</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zhangjiangli@777.com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张江丽</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372901199709087614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17864275823</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zhangjiangli@777.com</vt:lpwstr>
  </property>
  <property fmtid="{D5CDD505-2E9C-101B-9397-08002B2CF9AE}" pid="4" name="ContactName">
    <vt:lpwstr>张江丽</vt:lpwstr>
  </property>
  <property fmtid="{D5CDD505-2E9C-101B-9397-08002B2CF9AE}" pid="5" name="ContactPhone">
    <vt:lpwstr>17864275823</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zhangjiangli@777.com</vt:lpwstr>
  </property>
  <property fmtid="{D5CDD505-2E9C-101B-9397-08002B2CF9AE}" pid="9" name="LeaderName">
    <vt:lpwstr>张江丽</vt:lpwstr>
  </property>
  <property fmtid="{D5CDD505-2E9C-101B-9397-08002B2CF9AE}" pid="10" name="LeaderPhone">
    <vt:lpwstr>17864275823</vt:lpwstr>
  </property>
  <property fmtid="{D5CDD505-2E9C-101B-9397-08002B2CF9AE}" pid="11" name="LeaderSex">
    <vt:lpwstr>男</vt:lpwstr>
  </property>
  <property fmtid="{D5CDD505-2E9C-101B-9397-08002B2CF9AE}" pid="12" name="LeaderTitle">
    <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测试</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3</vt:i4>
  </property>
  <property fmtid="{D5CDD505-2E9C-101B-9397-08002B2CF9AE}" pid="20" name="TimeYear">
    <vt:i4>2018</vt:i4>
  </property>
  <property fmtid="{D5CDD505-2E9C-101B-9397-08002B2CF9AE}" pid="21" name="TotalBudget">
    <vt:lpwstr>2</vt:lpwstr>
  </property>
</Properties>
</file>