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all of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0631BB72" w:rsidR="0040496A" w:rsidRDefault="0040496A" w:rsidP="0040496A">
      <w:pPr>
        <w:pStyle w:val="CaptionedFigure"/>
      </w:pPr>
      <w:r w:rsidRPr="0040496A">
        <w:t>Diagram</w:t>
      </w:r>
      <w:r>
        <w:t xml:space="preserve"> 1.1.1 - Feature Map</w:t>
      </w:r>
    </w:p>
    <w:p w14:paraId="7B8BE352" w14:textId="1B835CC8" w:rsidR="0040496A" w:rsidRDefault="0040496A" w:rsidP="0040496A">
      <w:pPr>
        <w:jc w:val="center"/>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w:t>
      </w:r>
      <w:r w:rsidR="006A7F75">
        <w:t>influence</w:t>
      </w:r>
      <w:r w:rsidR="006A7F75">
        <w:t>s the</w:t>
      </w:r>
      <w:r w:rsidR="006A7F75">
        <w:t xml:space="preserv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Maintainability: Modifiability</w:t>
            </w:r>
            <w:r>
              <w:t xml:space="preserve">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w:t>
            </w:r>
            <w:r>
              <w:t>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00000000" w:rsidRPr="00F03A15">
        <w:t xml:space="preserve">with respect to the </w:t>
      </w:r>
      <w:r w:rsidR="00B76CED">
        <w:t xml:space="preserve">ANW Platform </w:t>
      </w:r>
      <w:r w:rsidR="00000000"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w:t>
      </w:r>
      <w:r>
        <w:t xml:space="preserve">Table 3.1.1 – ANW Platform </w:t>
      </w:r>
      <w:r>
        <w:t>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 xml:space="preserve">The </w:t>
            </w:r>
            <w:r>
              <w:t>architect</w:t>
            </w:r>
            <w:r>
              <w:t xml:space="preserve">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w:t>
            </w:r>
            <w:r w:rsidR="005D167F">
              <w:t xml:space="preserve">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4EE36E8B" w:rsidR="00F03A15" w:rsidRDefault="0061342C" w:rsidP="00E34A25">
            <w:pPr>
              <w:pStyle w:val="Tablecellcontents"/>
            </w:pPr>
            <w:r>
              <w:t xml:space="preserve">The </w:t>
            </w:r>
            <w:r>
              <w:t>developer</w:t>
            </w:r>
            <w:r>
              <w:t xml:space="preserve">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3139D81D" w:rsidR="00F03A15" w:rsidRDefault="0061342C" w:rsidP="00E34A25">
            <w:pPr>
              <w:pStyle w:val="Tablecellcontents"/>
            </w:pPr>
            <w:r>
              <w:t xml:space="preserve">The </w:t>
            </w:r>
            <w:r>
              <w:t>tester</w:t>
            </w:r>
            <w:r>
              <w:t xml:space="preserve"> is expected to provide the ANW Platform team</w:t>
            </w:r>
            <w:r w:rsidR="00C03DE2">
              <w:t xml:space="preserve"> with quality assurance of the platform </w:t>
            </w:r>
            <w:r w:rsidR="00C03DE2">
              <w:t>in fulfillment of both the functional (business) and non-functional (quality) requirements specified by the analyst and architect respectively.</w:t>
            </w:r>
            <w:r w:rsidR="00C03DE2">
              <w:t xml:space="preserve"> The tester owns the “validate” of the platform’s operation</w:t>
            </w:r>
            <w:r w:rsidR="005D167F">
              <w:t xml:space="preserve"> and references the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t>User</w:t>
            </w:r>
          </w:p>
        </w:tc>
        <w:tc>
          <w:tcPr>
            <w:tcW w:w="4442" w:type="pct"/>
          </w:tcPr>
          <w:p w14:paraId="6939CE59" w14:textId="11197B10" w:rsidR="00F03A15" w:rsidRDefault="0061342C" w:rsidP="00E34A25">
            <w:pPr>
              <w:pStyle w:val="Tablecellcontents"/>
            </w:pPr>
            <w:r>
              <w:t xml:space="preserve">The </w:t>
            </w:r>
            <w:r>
              <w:t>user</w:t>
            </w:r>
            <w:r>
              <w:t xml:space="preserve">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1" w:history="1">
              <w:r w:rsidRPr="00534EA5">
                <w:rPr>
                  <w:rStyle w:val="Hyperlink"/>
                </w:rPr>
                <w:t>https://mjremijan.blogspot.com/</w:t>
              </w:r>
            </w:hyperlink>
            <w:r>
              <w:t xml:space="preserve">, </w:t>
            </w:r>
            <w:r>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3FB8C003" w14:textId="77777777" w:rsidR="00E20E02" w:rsidRDefault="00000000">
      <w:pPr>
        <w:pStyle w:val="FirstParagraph"/>
      </w:pPr>
      <w:r>
        <w:rPr>
          <w:bCs/>
        </w:rPr>
        <w:t>Contents</w:t>
      </w:r>
    </w:p>
    <w:p w14:paraId="2DAB121A" w14:textId="77777777" w:rsidR="00E20E02" w:rsidRDefault="00000000">
      <w:pPr>
        <w:pStyle w:val="BodyText"/>
      </w:pPr>
      <w:r>
        <w:t>Any requirement that constraints software architects in their freedom of design and implementation decisions or decision about the development process. These constraints sometimes go beyond individual systems and are valid for whole organizations and companies.</w:t>
      </w:r>
    </w:p>
    <w:p w14:paraId="16E24637" w14:textId="77777777" w:rsidR="00E20E02" w:rsidRDefault="00000000">
      <w:pPr>
        <w:pStyle w:val="BodyText"/>
      </w:pPr>
      <w:r>
        <w:rPr>
          <w:b/>
          <w:bCs/>
        </w:rPr>
        <w:t>Motivation</w:t>
      </w:r>
    </w:p>
    <w:p w14:paraId="01AC6C7F" w14:textId="77777777" w:rsidR="00E20E02" w:rsidRDefault="00000000">
      <w:pPr>
        <w:pStyle w:val="BodyText"/>
      </w:pPr>
      <w:r>
        <w:t>Architects should know exactly where they are free in their design decisions and where they must adhere to constraints. Constraints must always be dealt with; they may be negotiable, though.</w:t>
      </w:r>
    </w:p>
    <w:p w14:paraId="4ECB06AC" w14:textId="77777777" w:rsidR="00E20E02" w:rsidRDefault="00000000">
      <w:pPr>
        <w:pStyle w:val="BodyText"/>
      </w:pPr>
      <w:r>
        <w:rPr>
          <w:b/>
          <w:bCs/>
        </w:rPr>
        <w:t>Form</w:t>
      </w:r>
    </w:p>
    <w:p w14:paraId="5DCBD9B7" w14:textId="77777777" w:rsidR="00E20E02" w:rsidRDefault="00000000">
      <w:pPr>
        <w:pStyle w:val="BodyText"/>
      </w:pPr>
      <w:r>
        <w:t>Simple tables of constraints with explanations. If needed you can subdivide them into technical constraints, organizational and political constraints and conventions (e.g. programming or versioning guidelines, documentation or naming conventions)</w:t>
      </w:r>
    </w:p>
    <w:p w14:paraId="7E5B2AB7" w14:textId="77777777" w:rsidR="00E20E02" w:rsidRDefault="00000000">
      <w:pPr>
        <w:pStyle w:val="Heading1"/>
      </w:pPr>
      <w:bookmarkStart w:id="5"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r>
        <w:rPr>
          <w:b/>
          <w:bCs/>
        </w:rPr>
        <w:t>Form</w:t>
      </w:r>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3">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4"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All stakeholders should understand which data are exchanged with the environment of the system.</w:t>
      </w:r>
    </w:p>
    <w:p w14:paraId="02CF9E89" w14:textId="77777777" w:rsidR="00E20E02" w:rsidRDefault="00000000">
      <w:pPr>
        <w:pStyle w:val="BodyText"/>
      </w:pPr>
      <w:r>
        <w:rPr>
          <w:b/>
          <w:bCs/>
        </w:rPr>
        <w:t>Form</w:t>
      </w:r>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000000">
      <w:pPr>
        <w:pStyle w:val="BodyText"/>
      </w:pPr>
      <w:r>
        <w:rPr>
          <w:b/>
          <w:bCs/>
        </w:rPr>
        <w:t>Form</w:t>
      </w:r>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r>
        <w:t>technology decisions</w:t>
      </w:r>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r>
        <w:rPr>
          <w:b/>
          <w:bCs/>
        </w:rPr>
        <w:t>Form</w:t>
      </w:r>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5">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r>
        <w:rPr>
          <w:b/>
          <w:bCs/>
        </w:rPr>
        <w:t>Form</w:t>
      </w:r>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contained building blocks.</w:t>
      </w:r>
      <w:r w:rsidR="00706E48">
        <w:t xml:space="preserve">  </w:t>
      </w:r>
      <w:hyperlink r:id="rId17"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18"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9"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0">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r>
        <w:t>an overview diagram</w:t>
      </w:r>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Here you describe &lt;black box 1&gt; according the the following black box template:</w:t>
      </w:r>
    </w:p>
    <w:p w14:paraId="2E3E572A" w14:textId="77777777" w:rsidR="00E20E02" w:rsidRDefault="00000000">
      <w:pPr>
        <w:numPr>
          <w:ilvl w:val="0"/>
          <w:numId w:val="8"/>
        </w:numPr>
      </w:pPr>
      <w:r>
        <w:t>Purpose/Responsibility</w:t>
      </w:r>
    </w:p>
    <w:p w14:paraId="28A2B72F" w14:textId="77777777" w:rsidR="00E20E02" w:rsidRDefault="00000000">
      <w:pPr>
        <w:numPr>
          <w:ilvl w:val="0"/>
          <w:numId w:val="8"/>
        </w:numPr>
      </w:pPr>
      <w:r>
        <w:t>Interface(s), when they are not extracted as separate paragraphs. This interfaces may include qualities and performance characteristics.</w:t>
      </w:r>
    </w:p>
    <w:p w14:paraId="055A4026" w14:textId="77777777" w:rsidR="00E20E02" w:rsidRDefault="00000000">
      <w:pPr>
        <w:numPr>
          <w:ilvl w:val="0"/>
          <w:numId w:val="8"/>
        </w:numPr>
      </w:pPr>
      <w:r>
        <w:t>(Optional) Quality-/Performance characteristics of the black box, e.g.availability,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When you need more detailed levels of your architecture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The runtime view describes concrete behavior and interactions of the system’s building blocks in form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000000">
      <w:pPr>
        <w:pStyle w:val="BodyText"/>
      </w:pPr>
      <w:r>
        <w:rPr>
          <w:b/>
          <w:bCs/>
        </w:rPr>
        <w:t>Form</w:t>
      </w:r>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1">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000000">
      <w:pPr>
        <w:pStyle w:val="FirstParagraph"/>
      </w:pPr>
      <w:r>
        <w:t xml:space="preserve">See </w:t>
      </w:r>
      <w:hyperlink r:id="rId22">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distribution of a system to multiple locations, environments, computers, processors, ..,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r>
        <w:t>implementation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r>
        <w:rPr>
          <w:b/>
          <w:bCs/>
        </w:rPr>
        <w:t>Form</w:t>
      </w:r>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4">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Important, expensive, large scale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r>
        <w:rPr>
          <w:b/>
          <w:bCs/>
        </w:rPr>
        <w:t>Form</w:t>
      </w:r>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5">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6">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000000">
      <w:pPr>
        <w:pStyle w:val="BodyText"/>
      </w:pPr>
      <w:r>
        <w:t xml:space="preserve">See </w:t>
      </w:r>
      <w:hyperlink r:id="rId27">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The quality tree (as defined in ATAM – Architecture Tradeoff Analysis Method) with quality/evaluation scenarios as leafs.</w:t>
      </w:r>
    </w:p>
    <w:p w14:paraId="233B7B88" w14:textId="77777777" w:rsidR="00E20E02" w:rsidRDefault="00000000">
      <w:pPr>
        <w:pStyle w:val="BodyText"/>
      </w:pPr>
      <w:r>
        <w:rPr>
          <w:b/>
          <w:bCs/>
        </w:rPr>
        <w:t>Motivation</w:t>
      </w:r>
    </w:p>
    <w:p w14:paraId="3BFECCCD" w14:textId="77777777" w:rsidR="00E20E02" w:rsidRDefault="00000000">
      <w:pPr>
        <w:pStyle w:val="BodyText"/>
      </w:pPr>
      <w:r>
        <w:t>The tree structure with priorities provides an overview for a sometimes large number of quality requirements.</w:t>
      </w:r>
    </w:p>
    <w:p w14:paraId="39039762" w14:textId="77777777" w:rsidR="00E20E02" w:rsidRDefault="00000000">
      <w:pPr>
        <w:pStyle w:val="BodyText"/>
      </w:pPr>
      <w:r>
        <w:rPr>
          <w:b/>
          <w:bCs/>
        </w:rPr>
        <w:t>Form</w:t>
      </w:r>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r>
        <w:t>tree-like refinement of the term "quality". Use "quality" or "usefulness" as a root</w:t>
      </w:r>
    </w:p>
    <w:p w14:paraId="4E26451E" w14:textId="77777777" w:rsidR="00E20E02" w:rsidRDefault="00000000">
      <w:pPr>
        <w:numPr>
          <w:ilvl w:val="0"/>
          <w:numId w:val="19"/>
        </w:numPr>
      </w:pPr>
      <w:r>
        <w:t>a mind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Scenarios make quality requirements concrete and allow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r>
        <w:rPr>
          <w:b/>
          <w:bCs/>
        </w:rPr>
        <w:t>Form</w:t>
      </w:r>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r>
        <w:rPr>
          <w:b/>
          <w:bCs/>
        </w:rPr>
        <w:t>Form</w:t>
      </w:r>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8">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263D87" w14:paraId="132E6272" w14:textId="77777777" w:rsidTr="00E34A25">
        <w:tc>
          <w:tcPr>
            <w:tcW w:w="587" w:type="pct"/>
          </w:tcPr>
          <w:p w14:paraId="72BD5BDC" w14:textId="39CC8383" w:rsidR="00263D87" w:rsidRDefault="00263D87" w:rsidP="00E34A25">
            <w:pPr>
              <w:pStyle w:val="Tablecellcontents"/>
            </w:pPr>
            <w:r>
              <w:t>ANW</w:t>
            </w:r>
          </w:p>
        </w:tc>
        <w:tc>
          <w:tcPr>
            <w:tcW w:w="4413" w:type="pct"/>
          </w:tcPr>
          <w:p w14:paraId="6579F810" w14:textId="14724812" w:rsidR="00263D87" w:rsidRDefault="00263D87" w:rsidP="00E34A25">
            <w:pPr>
              <w:pStyle w:val="Tablecellcontents"/>
            </w:pPr>
            <w:r>
              <w:t>American Ninja Warrior</w:t>
            </w:r>
          </w:p>
        </w:tc>
      </w:tr>
      <w:tr w:rsidR="00263D87" w14:paraId="65E4C512" w14:textId="77777777" w:rsidTr="00E34A25">
        <w:tc>
          <w:tcPr>
            <w:tcW w:w="587" w:type="pct"/>
          </w:tcPr>
          <w:p w14:paraId="6F37021C" w14:textId="348A1FBC" w:rsidR="00263D87" w:rsidRDefault="00263D87" w:rsidP="00E34A25">
            <w:pPr>
              <w:pStyle w:val="Tablecellcontents"/>
            </w:pPr>
          </w:p>
        </w:tc>
        <w:tc>
          <w:tcPr>
            <w:tcW w:w="4413" w:type="pct"/>
          </w:tcPr>
          <w:p w14:paraId="2C58CE08" w14:textId="77777777" w:rsidR="00263D87" w:rsidRDefault="00263D87" w:rsidP="00E34A25">
            <w:pPr>
              <w:pStyle w:val="Tablecellcontents"/>
            </w:pPr>
          </w:p>
        </w:tc>
      </w:tr>
    </w:tbl>
    <w:bookmarkEnd w:id="44"/>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29"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0"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1"/>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1E211" w14:textId="77777777" w:rsidR="00B40339" w:rsidRDefault="00B40339">
      <w:pPr>
        <w:spacing w:after="0"/>
      </w:pPr>
      <w:r>
        <w:separator/>
      </w:r>
    </w:p>
  </w:endnote>
  <w:endnote w:type="continuationSeparator" w:id="0">
    <w:p w14:paraId="4556CB0D" w14:textId="77777777" w:rsidR="00B40339" w:rsidRDefault="00B40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FC51B" w14:textId="77777777" w:rsidR="00B40339" w:rsidRDefault="00B40339">
      <w:r>
        <w:separator/>
      </w:r>
    </w:p>
  </w:footnote>
  <w:footnote w:type="continuationSeparator" w:id="0">
    <w:p w14:paraId="0818214B" w14:textId="77777777" w:rsidR="00B40339" w:rsidRDefault="00B40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7341FA"/>
    <w:multiLevelType w:val="multilevel"/>
    <w:tmpl w:val="0FA8F612"/>
    <w:numStyleLink w:val="HeadingsListStyle"/>
  </w:abstractNum>
  <w:abstractNum w:abstractNumId="4" w15:restartNumberingAfterBreak="0">
    <w:nsid w:val="44D27709"/>
    <w:multiLevelType w:val="multilevel"/>
    <w:tmpl w:val="0FA8F612"/>
    <w:numStyleLink w:val="HeadingsListStyle"/>
  </w:abstractNum>
  <w:abstractNum w:abstractNumId="5"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6"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5"/>
  </w:num>
  <w:num w:numId="23" w16cid:durableId="1887444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3"/>
  </w:num>
  <w:num w:numId="25" w16cid:durableId="1087845628">
    <w:abstractNumId w:val="6"/>
  </w:num>
  <w:num w:numId="26" w16cid:durableId="53577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C31C3"/>
    <w:rsid w:val="00167376"/>
    <w:rsid w:val="001958CA"/>
    <w:rsid w:val="001E1FAE"/>
    <w:rsid w:val="00263D87"/>
    <w:rsid w:val="002C071C"/>
    <w:rsid w:val="002D5684"/>
    <w:rsid w:val="00323DB3"/>
    <w:rsid w:val="00340E90"/>
    <w:rsid w:val="00345DD3"/>
    <w:rsid w:val="003602F1"/>
    <w:rsid w:val="003710EB"/>
    <w:rsid w:val="003B4FD4"/>
    <w:rsid w:val="003B7A14"/>
    <w:rsid w:val="003C45D3"/>
    <w:rsid w:val="003D03B0"/>
    <w:rsid w:val="003D3C63"/>
    <w:rsid w:val="003F7D44"/>
    <w:rsid w:val="0040496A"/>
    <w:rsid w:val="00424F30"/>
    <w:rsid w:val="004B64E2"/>
    <w:rsid w:val="004D323E"/>
    <w:rsid w:val="0055622C"/>
    <w:rsid w:val="00584E9E"/>
    <w:rsid w:val="005C5E7E"/>
    <w:rsid w:val="005D167F"/>
    <w:rsid w:val="005D51D2"/>
    <w:rsid w:val="005E6E4D"/>
    <w:rsid w:val="0061342C"/>
    <w:rsid w:val="006A7F75"/>
    <w:rsid w:val="006C2F34"/>
    <w:rsid w:val="006D5E8E"/>
    <w:rsid w:val="006E40EB"/>
    <w:rsid w:val="00704603"/>
    <w:rsid w:val="00705767"/>
    <w:rsid w:val="00706E48"/>
    <w:rsid w:val="00763A51"/>
    <w:rsid w:val="007E38C1"/>
    <w:rsid w:val="007E3FC5"/>
    <w:rsid w:val="007F06D9"/>
    <w:rsid w:val="00832121"/>
    <w:rsid w:val="00861F01"/>
    <w:rsid w:val="00891962"/>
    <w:rsid w:val="00894CE1"/>
    <w:rsid w:val="00911F5B"/>
    <w:rsid w:val="00913B08"/>
    <w:rsid w:val="00973F21"/>
    <w:rsid w:val="009B3462"/>
    <w:rsid w:val="009E21F1"/>
    <w:rsid w:val="00A37EFD"/>
    <w:rsid w:val="00AB4E93"/>
    <w:rsid w:val="00AC284C"/>
    <w:rsid w:val="00AF5825"/>
    <w:rsid w:val="00B40339"/>
    <w:rsid w:val="00B76CED"/>
    <w:rsid w:val="00B83235"/>
    <w:rsid w:val="00B85680"/>
    <w:rsid w:val="00BE2C31"/>
    <w:rsid w:val="00BF15EF"/>
    <w:rsid w:val="00C03DE2"/>
    <w:rsid w:val="00C17E12"/>
    <w:rsid w:val="00CC5F29"/>
    <w:rsid w:val="00D12628"/>
    <w:rsid w:val="00D651A4"/>
    <w:rsid w:val="00D91A51"/>
    <w:rsid w:val="00E04629"/>
    <w:rsid w:val="00E20E02"/>
    <w:rsid w:val="00E5048F"/>
    <w:rsid w:val="00E61FA9"/>
    <w:rsid w:val="00F03A15"/>
    <w:rsid w:val="00F30B74"/>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A15"/>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next w:val="Normal"/>
    <w:rsid w:val="0040496A"/>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rc42.org/section-3/"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9/" TargetMode="External"/><Relationship Id="rId3" Type="http://schemas.openxmlformats.org/officeDocument/2006/relationships/settings" Target="settings.xml"/><Relationship Id="rId21" Type="http://schemas.openxmlformats.org/officeDocument/2006/relationships/hyperlink" Target="https://docs.arc42.org/section-6/" TargetMode="External"/><Relationship Id="rId7" Type="http://schemas.openxmlformats.org/officeDocument/2006/relationships/image" Target="media/image1.jpeg"/><Relationship Id="rId12" Type="http://schemas.openxmlformats.org/officeDocument/2006/relationships/hyperlink" Target="https://docs.arc42.org/section-2/" TargetMode="External"/><Relationship Id="rId17" Type="http://schemas.openxmlformats.org/officeDocument/2006/relationships/hyperlink" Target="https://c4model.com/?ref=workingsoftware.dev" TargetMode="External"/><Relationship Id="rId25" Type="http://schemas.openxmlformats.org/officeDocument/2006/relationships/hyperlink" Target="https://cognitect.com/blog/2011/11/15/documenting-architecture-decis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arc42.org/section-5/" TargetMode="External"/><Relationship Id="rId29" Type="http://schemas.openxmlformats.org/officeDocument/2006/relationships/hyperlink" Target="https://mjremijan.blogspot.com/2022/11/pragmatic-strategy-for-deconstruc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jremijan.blogspot.com/" TargetMode="External"/><Relationship Id="rId24" Type="http://schemas.openxmlformats.org/officeDocument/2006/relationships/hyperlink" Target="https://docs.arc42.org/section-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rc42.org/section-4/" TargetMode="External"/><Relationship Id="rId23" Type="http://schemas.openxmlformats.org/officeDocument/2006/relationships/image" Target="media/image4.png"/><Relationship Id="rId28" Type="http://schemas.openxmlformats.org/officeDocument/2006/relationships/hyperlink" Target="https://docs.arc42.org/section-11/" TargetMode="External"/><Relationship Id="rId10" Type="http://schemas.openxmlformats.org/officeDocument/2006/relationships/image" Target="media/image2.jpg"/><Relationship Id="rId19" Type="http://schemas.openxmlformats.org/officeDocument/2006/relationships/hyperlink" Target="https://c4model.com/?ref=workingsoftware.dev"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c4model.com/?ref=workingsoftware.dev" TargetMode="External"/><Relationship Id="rId22" Type="http://schemas.openxmlformats.org/officeDocument/2006/relationships/hyperlink" Target="https://docs.arc42.org/section-7/" TargetMode="External"/><Relationship Id="rId27" Type="http://schemas.openxmlformats.org/officeDocument/2006/relationships/hyperlink" Target="https://docs.arc42.org/section-10/" TargetMode="External"/><Relationship Id="rId30" Type="http://schemas.openxmlformats.org/officeDocument/2006/relationships/hyperlink" Target="https://iso25000.com/index.php/en/iso-25000-standards/iso-25010" TargetMode="Externa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9271</TotalTime>
  <Pages>1</Pages>
  <Words>4271</Words>
  <Characters>24347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54</cp:revision>
  <dcterms:created xsi:type="dcterms:W3CDTF">2024-10-04T15:34:00Z</dcterms:created>
  <dcterms:modified xsi:type="dcterms:W3CDTF">2025-02-04T17:26:00Z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