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lastRenderedPageBreak/>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lastRenderedPageBreak/>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lastRenderedPageBreak/>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t>Enterprise</w:t>
      </w:r>
      <w:r w:rsidR="00CD4BCD">
        <w:t xml:space="preserve"> constraints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t>Platform constraints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566632F4"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71B247D"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w:t>
            </w:r>
            <w:r>
              <w:lastRenderedPageBreak/>
              <w:t>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lastRenderedPageBreak/>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t>The AGB can deny Authorization to Release if the ANW Platform is not in compliance.</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496202B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w:t>
              </w:r>
              <w:r w:rsidR="00A80DB3">
                <w:rPr>
                  <w:rStyle w:val="Hyperlink"/>
                </w:rPr>
                <w:t>t</w:t>
              </w:r>
              <w:r w:rsidR="00A80DB3">
                <w:rPr>
                  <w:rStyle w:val="Hyperlink"/>
                </w:rPr>
                <w: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artifactId</w:t>
            </w:r>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1A512367"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305FA2DB" w:rsidR="000E6EA4" w:rsidRPr="00EB1C76" w:rsidRDefault="003A72DB" w:rsidP="000E6EA4">
            <w:pPr>
              <w:pStyle w:val="Tablecellcontents"/>
            </w:pPr>
            <w:r>
              <w:t xml:space="preserve">The system platform communication follows an </w:t>
            </w:r>
            <w:r w:rsidR="000E6EA4" w:rsidRPr="003A72DB">
              <w:t>Event-Driven Architecture (EDA)</w:t>
            </w:r>
            <w:r>
              <w:t xml:space="preserve">. </w:t>
            </w:r>
            <w:r>
              <w:t>This</w:t>
            </w:r>
            <w:r w:rsidRPr="0096434C">
              <w:t xml:space="preserve"> focuses on structuring the system itself around </w:t>
            </w:r>
            <w:r>
              <w:t xml:space="preserve">independent, self-contained </w:t>
            </w:r>
            <w:r w:rsidRPr="0096434C">
              <w:t>features</w:t>
            </w:r>
            <w:r>
              <w:t>. For more details, reference</w:t>
            </w:r>
            <w:r>
              <w:t xml:space="preserve"> </w:t>
            </w:r>
            <w:hyperlink r:id="rId22"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06213E88" w14:textId="21D5DB1C" w:rsidR="00935869" w:rsidRDefault="00935869" w:rsidP="00935869">
      <w:pPr>
        <w:pStyle w:val="TableCaption"/>
        <w:ind w:left="360"/>
      </w:pPr>
      <w:bookmarkStart w:id="5" w:name="_Hlk190373936"/>
      <w:r>
        <w:lastRenderedPageBreak/>
        <w:t xml:space="preserve">Table 2.2 – </w:t>
      </w:r>
      <w:r w:rsidR="00B85E85">
        <w:t>Law</w:t>
      </w:r>
      <w:r w:rsidR="0009434A">
        <w:t>s</w:t>
      </w:r>
    </w:p>
    <w:p w14:paraId="17959CE0" w14:textId="5623F12E" w:rsidR="00935869" w:rsidRDefault="00935869" w:rsidP="00935869">
      <w:pPr>
        <w:pStyle w:val="TableCaption"/>
        <w:ind w:left="360"/>
      </w:pPr>
      <w:r>
        <w:t>Table 2.3 – Organizational 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2.4 – Political Constraints</w:t>
      </w:r>
    </w:p>
    <w:p w14:paraId="7E5B2AB7" w14:textId="77777777" w:rsidR="00E20E02" w:rsidRDefault="007468A0">
      <w:pPr>
        <w:pStyle w:val="Heading1"/>
      </w:pPr>
      <w:bookmarkStart w:id="6" w:name="section-context-and-scope"/>
      <w:bookmarkEnd w:id="4"/>
      <w:r>
        <w:t>Context and Scope</w:t>
      </w:r>
    </w:p>
    <w:p w14:paraId="0A82B67B" w14:textId="77777777" w:rsidR="00E20E02" w:rsidRDefault="007468A0">
      <w:pPr>
        <w:pStyle w:val="FirstParagraph"/>
      </w:pPr>
      <w:r>
        <w:rPr>
          <w:bCs/>
        </w:rPr>
        <w:t>Contents</w:t>
      </w:r>
    </w:p>
    <w:p w14:paraId="539F33DF" w14:textId="77777777" w:rsidR="00E20E02" w:rsidRDefault="007468A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7468A0">
      <w:pPr>
        <w:pStyle w:val="BodyText"/>
      </w:pPr>
      <w:r>
        <w:t>If necessary, differentiate the business context (domain specific inputs and outputs) from the technical context (channels, protocols, hardware).</w:t>
      </w:r>
    </w:p>
    <w:p w14:paraId="16B75C00" w14:textId="77777777" w:rsidR="00E20E02" w:rsidRDefault="007468A0">
      <w:pPr>
        <w:pStyle w:val="BodyText"/>
      </w:pPr>
      <w:r>
        <w:rPr>
          <w:b/>
          <w:bCs/>
        </w:rPr>
        <w:t>Motivation</w:t>
      </w:r>
    </w:p>
    <w:p w14:paraId="13512326" w14:textId="77777777" w:rsidR="00E20E02" w:rsidRDefault="007468A0">
      <w:pPr>
        <w:pStyle w:val="BodyText"/>
      </w:pPr>
      <w:r>
        <w:t>The domain interfaces and technical interfaces to communication partners are among your system’s most critical aspects. Make sure that you completely understand them.</w:t>
      </w:r>
    </w:p>
    <w:p w14:paraId="2ABE36A8" w14:textId="77777777" w:rsidR="00E20E02" w:rsidRDefault="007468A0">
      <w:pPr>
        <w:pStyle w:val="BodyText"/>
      </w:pPr>
      <w:r>
        <w:rPr>
          <w:b/>
          <w:bCs/>
        </w:rPr>
        <w:t>Form</w:t>
      </w:r>
    </w:p>
    <w:p w14:paraId="5E439A4E" w14:textId="77777777" w:rsidR="00E20E02" w:rsidRDefault="007468A0">
      <w:pPr>
        <w:pStyle w:val="BodyText"/>
      </w:pPr>
      <w:r>
        <w:t>Various options:</w:t>
      </w:r>
    </w:p>
    <w:p w14:paraId="628382EB" w14:textId="77777777" w:rsidR="00E20E02" w:rsidRDefault="007468A0">
      <w:pPr>
        <w:numPr>
          <w:ilvl w:val="0"/>
          <w:numId w:val="4"/>
        </w:numPr>
      </w:pPr>
      <w:r>
        <w:t>Context diagrams</w:t>
      </w:r>
    </w:p>
    <w:p w14:paraId="6A425061" w14:textId="77777777" w:rsidR="00E20E02" w:rsidRDefault="007468A0">
      <w:pPr>
        <w:numPr>
          <w:ilvl w:val="0"/>
          <w:numId w:val="4"/>
        </w:numPr>
      </w:pPr>
      <w:r>
        <w:t>Lists of communication partners and their interfaces.</w:t>
      </w:r>
    </w:p>
    <w:p w14:paraId="0D127F5E" w14:textId="77777777" w:rsidR="00E20E02" w:rsidRDefault="007468A0">
      <w:pPr>
        <w:pStyle w:val="FirstParagraph"/>
      </w:pPr>
      <w:r>
        <w:t xml:space="preserve">See </w:t>
      </w:r>
      <w:hyperlink r:id="rId23">
        <w:r w:rsidR="00E20E02">
          <w:rPr>
            <w:rStyle w:val="Hyperlink"/>
          </w:rPr>
          <w:t>Context and Scope</w:t>
        </w:r>
      </w:hyperlink>
      <w:r>
        <w:t xml:space="preserve"> in the arc42 documentation.</w:t>
      </w:r>
    </w:p>
    <w:p w14:paraId="19AD02BB" w14:textId="77777777" w:rsidR="00E20E02" w:rsidRDefault="007468A0">
      <w:pPr>
        <w:pStyle w:val="Heading2"/>
      </w:pPr>
      <w:bookmarkStart w:id="7" w:name="X05493b645af342a3a1f773b38e005df6f818ccd"/>
      <w:r>
        <w:t>Business Context</w:t>
      </w:r>
    </w:p>
    <w:p w14:paraId="1D4E81A6" w14:textId="77777777" w:rsidR="00E20E02" w:rsidRDefault="007468A0">
      <w:pPr>
        <w:pStyle w:val="FirstParagraph"/>
      </w:pPr>
      <w:r>
        <w:rPr>
          <w:bCs/>
        </w:rPr>
        <w:t>Contents</w:t>
      </w:r>
    </w:p>
    <w:p w14:paraId="67D07C3E" w14:textId="77777777" w:rsidR="00E20E02" w:rsidRDefault="007468A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24" w:anchor="SystemContextDiagram" w:history="1">
        <w:r w:rsidRPr="00706E48">
          <w:rPr>
            <w:rStyle w:val="Hyperlink"/>
            <w:b/>
            <w:bCs/>
          </w:rPr>
          <w:t>C4 System Context diagram</w:t>
        </w:r>
      </w:hyperlink>
      <w:r w:rsidRPr="00706E48">
        <w:rPr>
          <w:b/>
          <w:bCs/>
        </w:rPr>
        <w:t> </w:t>
      </w:r>
    </w:p>
    <w:p w14:paraId="443B468B" w14:textId="77777777" w:rsidR="00E20E02" w:rsidRDefault="007468A0">
      <w:pPr>
        <w:pStyle w:val="BodyText"/>
      </w:pPr>
      <w:r>
        <w:rPr>
          <w:b/>
          <w:bCs/>
        </w:rPr>
        <w:t>Motivation</w:t>
      </w:r>
    </w:p>
    <w:p w14:paraId="310E0B2E" w14:textId="77777777" w:rsidR="00E20E02" w:rsidRDefault="007468A0">
      <w:pPr>
        <w:pStyle w:val="BodyText"/>
      </w:pPr>
      <w:r>
        <w:t>All stakeholders should understand which data are exchanged with the environment of the system.</w:t>
      </w:r>
    </w:p>
    <w:p w14:paraId="02CF9E89" w14:textId="77777777" w:rsidR="00E20E02" w:rsidRDefault="007468A0">
      <w:pPr>
        <w:pStyle w:val="BodyText"/>
      </w:pPr>
      <w:r>
        <w:rPr>
          <w:b/>
          <w:bCs/>
        </w:rPr>
        <w:t>Form</w:t>
      </w:r>
    </w:p>
    <w:p w14:paraId="7201916F" w14:textId="77777777" w:rsidR="00E20E02" w:rsidRDefault="007468A0">
      <w:pPr>
        <w:pStyle w:val="BodyText"/>
      </w:pPr>
      <w:r>
        <w:lastRenderedPageBreak/>
        <w:t>All kinds of diagrams that show the system as a black box and specify the domain interfaces to communication partners.</w:t>
      </w:r>
    </w:p>
    <w:p w14:paraId="41353AD9" w14:textId="77777777" w:rsidR="00E20E02" w:rsidRDefault="007468A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7468A0">
      <w:pPr>
        <w:pStyle w:val="BodyText"/>
      </w:pPr>
      <w:r>
        <w:rPr>
          <w:b/>
          <w:bCs/>
        </w:rPr>
        <w:t>&lt;Diagram or Table&gt;</w:t>
      </w:r>
    </w:p>
    <w:p w14:paraId="7CA7F757" w14:textId="77777777" w:rsidR="00E20E02" w:rsidRDefault="007468A0">
      <w:pPr>
        <w:pStyle w:val="BodyText"/>
      </w:pPr>
      <w:r>
        <w:rPr>
          <w:b/>
          <w:bCs/>
        </w:rPr>
        <w:t>&lt;optionally: Explanation of external domain interfaces&gt;</w:t>
      </w:r>
    </w:p>
    <w:p w14:paraId="52C8C5B5" w14:textId="77777777" w:rsidR="00E20E02" w:rsidRDefault="007468A0">
      <w:pPr>
        <w:pStyle w:val="Heading2"/>
      </w:pPr>
      <w:bookmarkStart w:id="8" w:name="Xa0941b5683cd0168c40f56931129feaf0319077"/>
      <w:bookmarkEnd w:id="7"/>
      <w:r>
        <w:t>Technical Context</w:t>
      </w:r>
    </w:p>
    <w:p w14:paraId="7B558964" w14:textId="77777777" w:rsidR="00E20E02" w:rsidRDefault="007468A0">
      <w:pPr>
        <w:pStyle w:val="FirstParagraph"/>
      </w:pPr>
      <w:r>
        <w:rPr>
          <w:bCs/>
        </w:rPr>
        <w:t>Contents</w:t>
      </w:r>
    </w:p>
    <w:p w14:paraId="1B84BCF6" w14:textId="77777777" w:rsidR="00E20E02" w:rsidRDefault="007468A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7468A0">
      <w:pPr>
        <w:pStyle w:val="BodyText"/>
      </w:pPr>
      <w:r>
        <w:rPr>
          <w:b/>
          <w:bCs/>
        </w:rPr>
        <w:t>Motivation</w:t>
      </w:r>
    </w:p>
    <w:p w14:paraId="39A86D11" w14:textId="77777777" w:rsidR="00E20E02" w:rsidRDefault="007468A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7468A0">
      <w:pPr>
        <w:pStyle w:val="BodyText"/>
      </w:pPr>
      <w:r>
        <w:rPr>
          <w:b/>
          <w:bCs/>
        </w:rPr>
        <w:t>Form</w:t>
      </w:r>
    </w:p>
    <w:p w14:paraId="28D955A1" w14:textId="77777777" w:rsidR="00E20E02" w:rsidRDefault="007468A0">
      <w:pPr>
        <w:pStyle w:val="BodyText"/>
      </w:pPr>
      <w:r>
        <w:t>E.g. UML deployment diagram describing channels to neighboring systems, together with a mapping table showing the relationships between channels and input/output.</w:t>
      </w:r>
    </w:p>
    <w:p w14:paraId="34B6BD5B" w14:textId="77777777" w:rsidR="00E20E02" w:rsidRDefault="007468A0">
      <w:pPr>
        <w:pStyle w:val="BodyText"/>
      </w:pPr>
      <w:r>
        <w:rPr>
          <w:b/>
          <w:bCs/>
        </w:rPr>
        <w:t>&lt;Diagram or Table&gt;</w:t>
      </w:r>
    </w:p>
    <w:p w14:paraId="618B2AEB" w14:textId="77777777" w:rsidR="00E20E02" w:rsidRDefault="007468A0">
      <w:pPr>
        <w:pStyle w:val="BodyText"/>
      </w:pPr>
      <w:r>
        <w:rPr>
          <w:b/>
          <w:bCs/>
        </w:rPr>
        <w:t>&lt;optionally: Explanation of technical interfaces&gt;</w:t>
      </w:r>
    </w:p>
    <w:p w14:paraId="32FA5190" w14:textId="77777777" w:rsidR="00E20E02" w:rsidRDefault="007468A0">
      <w:pPr>
        <w:pStyle w:val="BodyText"/>
      </w:pPr>
      <w:r>
        <w:rPr>
          <w:b/>
          <w:bCs/>
        </w:rPr>
        <w:t>&lt;Mapping Input/Output to Channels&gt;</w:t>
      </w:r>
    </w:p>
    <w:p w14:paraId="4817D322" w14:textId="77777777" w:rsidR="00E20E02" w:rsidRDefault="007468A0">
      <w:pPr>
        <w:pStyle w:val="Heading1"/>
      </w:pPr>
      <w:bookmarkStart w:id="9" w:name="section-solution-strategy"/>
      <w:bookmarkEnd w:id="6"/>
      <w:bookmarkEnd w:id="8"/>
      <w:r>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lastRenderedPageBreak/>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5">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7"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8"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29"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0">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Here you describe &lt;black box 1&gt; according the the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(Optional) Quality-/Performance characteristics of the black box, e.g.availability,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1">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2">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4">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5">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6">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37">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The quality tree (as defined in ATAM – Architecture Tradeoff Analysis Method) with quality/evaluation scenarios as leafs.</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38">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9"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0"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1"/>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04779" w14:textId="77777777" w:rsidR="001657CA" w:rsidRDefault="001657CA">
      <w:pPr>
        <w:spacing w:after="0"/>
      </w:pPr>
      <w:r>
        <w:separator/>
      </w:r>
    </w:p>
  </w:endnote>
  <w:endnote w:type="continuationSeparator" w:id="0">
    <w:p w14:paraId="084AC932" w14:textId="77777777" w:rsidR="001657CA" w:rsidRDefault="00165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43F6B" w14:textId="77777777" w:rsidR="001657CA" w:rsidRDefault="001657CA">
      <w:r>
        <w:separator/>
      </w:r>
    </w:p>
  </w:footnote>
  <w:footnote w:type="continuationSeparator" w:id="0">
    <w:p w14:paraId="6F1C1385" w14:textId="77777777" w:rsidR="001657CA" w:rsidRDefault="00165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3"/>
  </w:num>
  <w:num w:numId="30" w16cid:durableId="480195445">
    <w:abstractNumId w:val="10"/>
  </w:num>
  <w:num w:numId="31" w16cid:durableId="2014332376">
    <w:abstractNumId w:val="7"/>
  </w:num>
  <w:num w:numId="32" w16cid:durableId="443573558">
    <w:abstractNumId w:val="3"/>
  </w:num>
  <w:num w:numId="33" w16cid:durableId="880871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21779"/>
    <w:rsid w:val="000407F8"/>
    <w:rsid w:val="00053A0C"/>
    <w:rsid w:val="00091C0A"/>
    <w:rsid w:val="0009434A"/>
    <w:rsid w:val="000A71C3"/>
    <w:rsid w:val="000B26C9"/>
    <w:rsid w:val="000C31C3"/>
    <w:rsid w:val="000E6EA4"/>
    <w:rsid w:val="00133D07"/>
    <w:rsid w:val="00147515"/>
    <w:rsid w:val="001657CA"/>
    <w:rsid w:val="00167376"/>
    <w:rsid w:val="00176773"/>
    <w:rsid w:val="001958CA"/>
    <w:rsid w:val="001A5BA6"/>
    <w:rsid w:val="001B52FC"/>
    <w:rsid w:val="001C1C14"/>
    <w:rsid w:val="001D2750"/>
    <w:rsid w:val="001D5868"/>
    <w:rsid w:val="001D6627"/>
    <w:rsid w:val="001E1033"/>
    <w:rsid w:val="001E1FAE"/>
    <w:rsid w:val="00211997"/>
    <w:rsid w:val="00256A51"/>
    <w:rsid w:val="00263D87"/>
    <w:rsid w:val="00277DA3"/>
    <w:rsid w:val="00290A96"/>
    <w:rsid w:val="002B50FA"/>
    <w:rsid w:val="002C071C"/>
    <w:rsid w:val="002C3E51"/>
    <w:rsid w:val="002C525C"/>
    <w:rsid w:val="002D5684"/>
    <w:rsid w:val="002E24C2"/>
    <w:rsid w:val="002E5E84"/>
    <w:rsid w:val="00323DB3"/>
    <w:rsid w:val="00340E90"/>
    <w:rsid w:val="00345DD3"/>
    <w:rsid w:val="003462C0"/>
    <w:rsid w:val="003602F1"/>
    <w:rsid w:val="003710EB"/>
    <w:rsid w:val="00377056"/>
    <w:rsid w:val="003A1F4F"/>
    <w:rsid w:val="003A72DB"/>
    <w:rsid w:val="003B4FD4"/>
    <w:rsid w:val="003B7A14"/>
    <w:rsid w:val="003C1BB6"/>
    <w:rsid w:val="003C45D3"/>
    <w:rsid w:val="003D03B0"/>
    <w:rsid w:val="003D3C63"/>
    <w:rsid w:val="003F7D44"/>
    <w:rsid w:val="0040496A"/>
    <w:rsid w:val="00424F30"/>
    <w:rsid w:val="00461D89"/>
    <w:rsid w:val="004B64E2"/>
    <w:rsid w:val="004D323E"/>
    <w:rsid w:val="004E286A"/>
    <w:rsid w:val="004E2BCE"/>
    <w:rsid w:val="004E5F95"/>
    <w:rsid w:val="00512E17"/>
    <w:rsid w:val="00525760"/>
    <w:rsid w:val="00527360"/>
    <w:rsid w:val="005329C5"/>
    <w:rsid w:val="0055622C"/>
    <w:rsid w:val="00584E9E"/>
    <w:rsid w:val="005B3403"/>
    <w:rsid w:val="005C5E7E"/>
    <w:rsid w:val="005D167F"/>
    <w:rsid w:val="005D51D2"/>
    <w:rsid w:val="005E1FA8"/>
    <w:rsid w:val="005E41CF"/>
    <w:rsid w:val="005E6E4D"/>
    <w:rsid w:val="0060035D"/>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3A51"/>
    <w:rsid w:val="007E38C1"/>
    <w:rsid w:val="007E3FC5"/>
    <w:rsid w:val="007F06D9"/>
    <w:rsid w:val="007F5002"/>
    <w:rsid w:val="00800BD5"/>
    <w:rsid w:val="00832121"/>
    <w:rsid w:val="00834FA8"/>
    <w:rsid w:val="0084781B"/>
    <w:rsid w:val="00861F01"/>
    <w:rsid w:val="00867377"/>
    <w:rsid w:val="00883F0B"/>
    <w:rsid w:val="0089045C"/>
    <w:rsid w:val="00891962"/>
    <w:rsid w:val="00894CE1"/>
    <w:rsid w:val="008D7D2C"/>
    <w:rsid w:val="008E5A5C"/>
    <w:rsid w:val="00911F5B"/>
    <w:rsid w:val="00913B08"/>
    <w:rsid w:val="0092520B"/>
    <w:rsid w:val="00931071"/>
    <w:rsid w:val="0093540C"/>
    <w:rsid w:val="00935869"/>
    <w:rsid w:val="0096434C"/>
    <w:rsid w:val="00972E3C"/>
    <w:rsid w:val="00973F21"/>
    <w:rsid w:val="00986D64"/>
    <w:rsid w:val="0099457C"/>
    <w:rsid w:val="009A3A05"/>
    <w:rsid w:val="009B13EE"/>
    <w:rsid w:val="009B3462"/>
    <w:rsid w:val="009E21F1"/>
    <w:rsid w:val="009E3483"/>
    <w:rsid w:val="009F4261"/>
    <w:rsid w:val="009F7D65"/>
    <w:rsid w:val="00A37EFD"/>
    <w:rsid w:val="00A80DB3"/>
    <w:rsid w:val="00A85F21"/>
    <w:rsid w:val="00A9143C"/>
    <w:rsid w:val="00AA4D9A"/>
    <w:rsid w:val="00AB4E93"/>
    <w:rsid w:val="00AC0F0A"/>
    <w:rsid w:val="00AC284C"/>
    <w:rsid w:val="00AE5026"/>
    <w:rsid w:val="00AF2B15"/>
    <w:rsid w:val="00AF5825"/>
    <w:rsid w:val="00B00DC3"/>
    <w:rsid w:val="00B023DF"/>
    <w:rsid w:val="00B0386B"/>
    <w:rsid w:val="00B324B0"/>
    <w:rsid w:val="00B46424"/>
    <w:rsid w:val="00B56A8A"/>
    <w:rsid w:val="00B624A0"/>
    <w:rsid w:val="00B71974"/>
    <w:rsid w:val="00B76CED"/>
    <w:rsid w:val="00B83235"/>
    <w:rsid w:val="00B85680"/>
    <w:rsid w:val="00B85E85"/>
    <w:rsid w:val="00B956D8"/>
    <w:rsid w:val="00BA577D"/>
    <w:rsid w:val="00BE2C31"/>
    <w:rsid w:val="00BF15EF"/>
    <w:rsid w:val="00C03DE2"/>
    <w:rsid w:val="00C15150"/>
    <w:rsid w:val="00C15491"/>
    <w:rsid w:val="00C17E12"/>
    <w:rsid w:val="00C46347"/>
    <w:rsid w:val="00C71CC9"/>
    <w:rsid w:val="00C747F4"/>
    <w:rsid w:val="00CC5F29"/>
    <w:rsid w:val="00CD2858"/>
    <w:rsid w:val="00CD4BCD"/>
    <w:rsid w:val="00CE1828"/>
    <w:rsid w:val="00D12628"/>
    <w:rsid w:val="00D22C48"/>
    <w:rsid w:val="00D23FB5"/>
    <w:rsid w:val="00D25FA6"/>
    <w:rsid w:val="00D351BA"/>
    <w:rsid w:val="00D651A4"/>
    <w:rsid w:val="00D91A51"/>
    <w:rsid w:val="00DD5578"/>
    <w:rsid w:val="00DE0B73"/>
    <w:rsid w:val="00DE6CA2"/>
    <w:rsid w:val="00DF4A94"/>
    <w:rsid w:val="00E04629"/>
    <w:rsid w:val="00E04935"/>
    <w:rsid w:val="00E20E02"/>
    <w:rsid w:val="00E44689"/>
    <w:rsid w:val="00E47917"/>
    <w:rsid w:val="00E5048F"/>
    <w:rsid w:val="00E61FA9"/>
    <w:rsid w:val="00E727DB"/>
    <w:rsid w:val="00E80765"/>
    <w:rsid w:val="00E906DA"/>
    <w:rsid w:val="00EB1C76"/>
    <w:rsid w:val="00EB6CAB"/>
    <w:rsid w:val="00EF1AB3"/>
    <w:rsid w:val="00F03A15"/>
    <w:rsid w:val="00F03F1B"/>
    <w:rsid w:val="00F11BB6"/>
    <w:rsid w:val="00F270FF"/>
    <w:rsid w:val="00F30B74"/>
    <w:rsid w:val="00F43623"/>
    <w:rsid w:val="00F7449E"/>
    <w:rsid w:val="00F75005"/>
    <w:rsid w:val="00F91C98"/>
    <w:rsid w:val="00FA5B13"/>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4E8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image" Target="media/image3.png"/><Relationship Id="rId39" Type="http://schemas.openxmlformats.org/officeDocument/2006/relationships/hyperlink" Target="https://mjremijan.blogspot.com/2022/11/pragmatic-strategy-for-deconstructing.html"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docs.arc42.org/section-8/"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0" Type="http://schemas.openxmlformats.org/officeDocument/2006/relationships/hyperlink" Target="https://1drv.ms/w/c/0c5144d8101c068d/EdWg_v6PoKNFnRdZXud2lsUBUtLO8SFC5CMKz1ywGLRZ5g?e=b2OO3X" TargetMode="External"/><Relationship Id="rId29" Type="http://schemas.openxmlformats.org/officeDocument/2006/relationships/hyperlink" Target="https://c4model.com/?ref=workingsoftware.dev"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c4model.com/?ref=workingsoftware.dev" TargetMode="External"/><Relationship Id="rId32" Type="http://schemas.openxmlformats.org/officeDocument/2006/relationships/hyperlink" Target="https://docs.arc42.org/section-7/" TargetMode="External"/><Relationship Id="rId37" Type="http://schemas.openxmlformats.org/officeDocument/2006/relationships/hyperlink" Target="https://docs.arc42.org/section-10/" TargetMode="External"/><Relationship Id="rId40" Type="http://schemas.openxmlformats.org/officeDocument/2006/relationships/hyperlink" Target="https://iso25000.com/index.php/en/iso-25000-standards/iso-25010" TargetMode="External"/><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docs.arc42.org/section-3/" TargetMode="External"/><Relationship Id="rId28" Type="http://schemas.openxmlformats.org/officeDocument/2006/relationships/hyperlink" Target="https://c4model.com/?ref=workingsoftware.dev" TargetMode="External"/><Relationship Id="rId36" Type="http://schemas.openxmlformats.org/officeDocument/2006/relationships/hyperlink" Target="https://docs.arc42.org/section-9/"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docs.arc42.org/section-6/"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1drv.ms/w/c/0c5144d8101c068d/EYfH1j3vJWFNq_KPsssLbcsBAs57pX-xVG_7UdcgapBZ7w?e=cSCWLX" TargetMode="External"/><Relationship Id="rId27" Type="http://schemas.openxmlformats.org/officeDocument/2006/relationships/hyperlink" Target="https://c4model.com/?ref=workingsoftware.dev" TargetMode="External"/><Relationship Id="rId30" Type="http://schemas.openxmlformats.org/officeDocument/2006/relationships/hyperlink" Target="https://docs.arc42.org/section-5/" TargetMode="External"/><Relationship Id="rId35" Type="http://schemas.openxmlformats.org/officeDocument/2006/relationships/hyperlink" Target="https://cognitect.com/blog/2011/11/15/documenting-architecture-decisions" TargetMode="External"/><Relationship Id="rId43" Type="http://schemas.openxmlformats.org/officeDocument/2006/relationships/theme" Target="theme/theme1.xm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hyperlink" Target="https://docs.arc42.org/section-4/" TargetMode="External"/><Relationship Id="rId33" Type="http://schemas.openxmlformats.org/officeDocument/2006/relationships/image" Target="media/image4.png"/><Relationship Id="rId38" Type="http://schemas.openxmlformats.org/officeDocument/2006/relationships/hyperlink" Target="https://docs.arc42.org/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38101</TotalTime>
  <Pages>22</Pages>
  <Words>4926</Words>
  <Characters>28084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7</cp:revision>
  <dcterms:created xsi:type="dcterms:W3CDTF">2024-10-04T15:34:00Z</dcterms:created>
  <dcterms:modified xsi:type="dcterms:W3CDTF">2025-03-14T15:02:00Z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