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0A0" w:rsidRPr="001F041C" w:rsidRDefault="00683BA0">
      <w:pPr>
        <w:rPr>
          <w:b/>
        </w:rPr>
      </w:pPr>
      <w:r w:rsidRPr="001F041C">
        <w:rPr>
          <w:b/>
        </w:rPr>
        <w:t>Comparing proportion of habitat in range and mean proportion habitat in point occurrence buffers</w:t>
      </w:r>
    </w:p>
    <w:p w:rsidR="00683BA0" w:rsidRDefault="00683BA0"/>
    <w:p w:rsidR="007D67C6" w:rsidRDefault="00683BA0">
      <w:proofErr w:type="spellStart"/>
      <w:r>
        <w:t>Rondinini</w:t>
      </w:r>
      <w:proofErr w:type="spellEnd"/>
      <w:r>
        <w:t xml:space="preserve"> et al. (2011)</w:t>
      </w:r>
      <w:r w:rsidR="00063BA4">
        <w:t xml:space="preserve"> created deductive habitat </w:t>
      </w:r>
      <w:r w:rsidR="00E86587">
        <w:t xml:space="preserve">suitability </w:t>
      </w:r>
      <w:r w:rsidR="00063BA4">
        <w:t>models</w:t>
      </w:r>
      <w:r w:rsidR="00E86587">
        <w:t xml:space="preserve"> (high, medium, unsuitable)</w:t>
      </w:r>
      <w:r w:rsidR="003E3AAE">
        <w:t xml:space="preserve"> for &gt;</w:t>
      </w:r>
      <w:r w:rsidR="00063BA4">
        <w:t xml:space="preserve">5000 terrestrial mammals globally at a spatial grain of 300 meters to examine patterns of richness and protection. </w:t>
      </w:r>
      <w:r w:rsidR="000C7B8C">
        <w:t>They conducted model evaluation on a subset of only 263 species b</w:t>
      </w:r>
      <w:r w:rsidR="00063BA4">
        <w:t xml:space="preserve">ecause detailed occurrence data are lacking for most </w:t>
      </w:r>
      <w:r w:rsidR="000C7B8C">
        <w:t>mammal taxa.</w:t>
      </w:r>
      <w:r w:rsidR="00C13DC9">
        <w:t xml:space="preserve"> The occurrence data used contains information on species presence only</w:t>
      </w:r>
      <w:r w:rsidR="00BF57BC">
        <w:t>,</w:t>
      </w:r>
      <w:r w:rsidR="00C13DC9">
        <w:t xml:space="preserve"> limiting assessment methodologies. Therefore, </w:t>
      </w:r>
      <w:proofErr w:type="spellStart"/>
      <w:r w:rsidR="00C13DC9">
        <w:t>Rondinini</w:t>
      </w:r>
      <w:proofErr w:type="spellEnd"/>
      <w:r w:rsidR="00C13DC9">
        <w:t xml:space="preserve"> et al. chose to compare what they term ‘model prevalence’ and ‘point prevalence’ to </w:t>
      </w:r>
      <w:r w:rsidR="00B24C31">
        <w:t xml:space="preserve">species’ </w:t>
      </w:r>
      <w:r w:rsidR="000D108A">
        <w:t>landscape</w:t>
      </w:r>
      <w:r w:rsidR="00B24C31">
        <w:t>s</w:t>
      </w:r>
      <w:r w:rsidR="000D108A">
        <w:t xml:space="preserve"> of randomly distributed habitat</w:t>
      </w:r>
      <w:r w:rsidR="00E86587">
        <w:t xml:space="preserve"> at a spatial grain of 1</w:t>
      </w:r>
      <w:r w:rsidR="001A14E3">
        <w:t xml:space="preserve"> </w:t>
      </w:r>
      <w:r w:rsidR="00E86587">
        <w:t>km</w:t>
      </w:r>
      <w:r w:rsidR="00E86587" w:rsidRPr="00E86587">
        <w:rPr>
          <w:vertAlign w:val="superscript"/>
        </w:rPr>
        <w:t>2</w:t>
      </w:r>
      <w:r w:rsidR="00E86587">
        <w:t xml:space="preserve"> (the assumed </w:t>
      </w:r>
      <w:r w:rsidR="00117901">
        <w:t>accuracy</w:t>
      </w:r>
      <w:r w:rsidR="00E86587">
        <w:t xml:space="preserve"> of their point locality data)</w:t>
      </w:r>
      <w:r w:rsidR="000D108A">
        <w:t>.</w:t>
      </w:r>
      <w:r w:rsidR="00E86587">
        <w:t xml:space="preserve"> Point prevalence is defined as the proportion of </w:t>
      </w:r>
      <w:proofErr w:type="gramStart"/>
      <w:r w:rsidR="00E86587">
        <w:t>1</w:t>
      </w:r>
      <w:r w:rsidR="001A14E3">
        <w:t xml:space="preserve"> </w:t>
      </w:r>
      <w:r w:rsidR="00E86587" w:rsidRPr="00E86587">
        <w:t>km</w:t>
      </w:r>
      <w:r w:rsidR="00E86587" w:rsidRPr="00E86587">
        <w:rPr>
          <w:vertAlign w:val="superscript"/>
        </w:rPr>
        <w:t>2</w:t>
      </w:r>
      <w:proofErr w:type="gramEnd"/>
      <w:r w:rsidR="00E86587" w:rsidRPr="00E86587">
        <w:t xml:space="preserve"> cells containing one or more occurrences and one or more 300 m cells with high and/or medium suitability (i.e. proporti</w:t>
      </w:r>
      <w:r w:rsidR="00E86587">
        <w:t>on of correctly predicted occur</w:t>
      </w:r>
      <w:r w:rsidR="00E86587" w:rsidRPr="00E86587">
        <w:t>rences</w:t>
      </w:r>
      <w:r w:rsidR="00E86587">
        <w:t>)</w:t>
      </w:r>
      <w:r w:rsidR="00CA53F0">
        <w:t xml:space="preserve">. Model prevalence is </w:t>
      </w:r>
      <w:r w:rsidR="009F1E02">
        <w:t xml:space="preserve">defined as </w:t>
      </w:r>
      <w:r w:rsidR="009F1E02" w:rsidRPr="009F1E02">
        <w:t xml:space="preserve">the proportion of </w:t>
      </w:r>
      <w:proofErr w:type="gramStart"/>
      <w:r w:rsidR="009F1E02" w:rsidRPr="009F1E02">
        <w:t>1</w:t>
      </w:r>
      <w:r w:rsidR="00C956EA">
        <w:t xml:space="preserve"> </w:t>
      </w:r>
      <w:r w:rsidR="009F1E02" w:rsidRPr="009F1E02">
        <w:t>km</w:t>
      </w:r>
      <w:r w:rsidR="009F1E02" w:rsidRPr="003F3E2D">
        <w:rPr>
          <w:vertAlign w:val="superscript"/>
        </w:rPr>
        <w:t>2</w:t>
      </w:r>
      <w:proofErr w:type="gramEnd"/>
      <w:r w:rsidR="009F1E02" w:rsidRPr="009F1E02">
        <w:t xml:space="preserve"> cells with high or medi</w:t>
      </w:r>
      <w:r w:rsidR="003F3E2D">
        <w:t xml:space="preserve">um suitability within the </w:t>
      </w:r>
      <w:r w:rsidR="00C13258">
        <w:t xml:space="preserve">species’ </w:t>
      </w:r>
      <w:r w:rsidR="003F3E2D">
        <w:t>range.</w:t>
      </w:r>
      <w:r w:rsidR="001A64B2">
        <w:t xml:space="preserve"> The results of their evaluation produced the following chart:</w:t>
      </w:r>
    </w:p>
    <w:p w:rsidR="007D67C6" w:rsidRDefault="007D67C6"/>
    <w:p w:rsidR="007D67C6" w:rsidRDefault="007D67C6">
      <w:r w:rsidRPr="007D67C6">
        <w:rPr>
          <w:noProof/>
        </w:rPr>
        <w:drawing>
          <wp:inline distT="0" distB="0" distL="0" distR="0" wp14:anchorId="633DE969" wp14:editId="503F1611">
            <wp:extent cx="3429479" cy="31532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9479" cy="3153215"/>
                    </a:xfrm>
                    <a:prstGeom prst="rect">
                      <a:avLst/>
                    </a:prstGeom>
                  </pic:spPr>
                </pic:pic>
              </a:graphicData>
            </a:graphic>
          </wp:inline>
        </w:drawing>
      </w:r>
    </w:p>
    <w:p w:rsidR="00365B95" w:rsidRDefault="00B3650A" w:rsidP="008A2025">
      <w:r>
        <w:t xml:space="preserve">As </w:t>
      </w:r>
      <w:proofErr w:type="spellStart"/>
      <w:r w:rsidR="00D57203">
        <w:t>Rondinin</w:t>
      </w:r>
      <w:proofErr w:type="spellEnd"/>
      <w:r w:rsidR="00D57203">
        <w:t xml:space="preserve"> et al.</w:t>
      </w:r>
      <w:r>
        <w:t xml:space="preserve"> </w:t>
      </w:r>
      <w:proofErr w:type="gramStart"/>
      <w:r>
        <w:t>describe:</w:t>
      </w:r>
      <w:proofErr w:type="gramEnd"/>
      <w:r>
        <w:t xml:space="preserve"> </w:t>
      </w:r>
      <w:r w:rsidRPr="00D57203">
        <w:rPr>
          <w:i/>
        </w:rPr>
        <w:t>“If predicted suitable cells were distributed randomly with respect to species occurrences, the expectation would be that the point prevalen</w:t>
      </w:r>
      <w:r w:rsidR="00DD1572" w:rsidRPr="00D57203">
        <w:rPr>
          <w:i/>
        </w:rPr>
        <w:t>ce equals the model prevalence</w:t>
      </w:r>
      <w:r w:rsidR="00DD1572" w:rsidRPr="00365B95">
        <w:rPr>
          <w:i/>
        </w:rPr>
        <w:t>.”</w:t>
      </w:r>
      <w:r w:rsidR="00DD1572" w:rsidRPr="00365B95">
        <w:t xml:space="preserve"> </w:t>
      </w:r>
      <w:r w:rsidR="00365B95">
        <w:t xml:space="preserve">Hence, the comparison assumes a random habitat landscape is one in which any given location contains habitat at proportions </w:t>
      </w:r>
      <w:r w:rsidR="00FC5B57">
        <w:t>equal to model predicted habitat across the entire species’ range.</w:t>
      </w:r>
      <w:r w:rsidR="00970F6B">
        <w:t xml:space="preserve"> When point prevalence is greater than model prevalence, the model predicts habitat at species locations better than </w:t>
      </w:r>
      <w:r w:rsidR="00F831AE">
        <w:t xml:space="preserve">the range </w:t>
      </w:r>
      <w:r w:rsidR="00F831AE" w:rsidRPr="00F831AE">
        <w:rPr>
          <w:i/>
        </w:rPr>
        <w:t>“because it tends to correctly flag as unsuitable the cells that do not contain occurrences.”</w:t>
      </w:r>
    </w:p>
    <w:p w:rsidR="0068481B" w:rsidRDefault="0068481B" w:rsidP="0068481B">
      <w:r>
        <w:t xml:space="preserve">GAP species maps include geographic range along with distribution of potential habitat generated at a spatial raster resolution of 30 m. Therefore, each species has a measurement of model prevalence, which is simply the areal proportion of predicted habitat within </w:t>
      </w:r>
      <w:r w:rsidR="00CB5143">
        <w:t xml:space="preserve">the delineated </w:t>
      </w:r>
      <w:r>
        <w:t xml:space="preserve">range. </w:t>
      </w:r>
      <w:r w:rsidR="003F3F39">
        <w:t>However, in order to calculate point prev</w:t>
      </w:r>
      <w:r w:rsidR="004C7330">
        <w:t xml:space="preserve">alence at a 30 m spatial grain, point occurrences would need to have an </w:t>
      </w:r>
      <w:r w:rsidR="004C7330">
        <w:lastRenderedPageBreak/>
        <w:t xml:space="preserve">equivalent spatial accuracy. </w:t>
      </w:r>
      <w:r>
        <w:t xml:space="preserve">Point prevalence calculations at a 30 m spatial grain will be available only for a very limited number of species and with very few data points because most point occurrence datasets (e.g. GBIF, </w:t>
      </w:r>
      <w:proofErr w:type="spellStart"/>
      <w:r>
        <w:t>BiSON</w:t>
      </w:r>
      <w:proofErr w:type="spellEnd"/>
      <w:r>
        <w:t xml:space="preserve">, </w:t>
      </w:r>
      <w:proofErr w:type="spellStart"/>
      <w:r>
        <w:t>eBird</w:t>
      </w:r>
      <w:proofErr w:type="spellEnd"/>
      <w:r>
        <w:t>) have either no information regarding individual location accuracy or vary widely in coordinate uncertainty (</w:t>
      </w:r>
      <w:r w:rsidR="00190D30">
        <w:t xml:space="preserve">e.g. </w:t>
      </w:r>
      <w:r w:rsidR="00EC1590">
        <w:t>&lt;100 m to province-</w:t>
      </w:r>
      <w:r>
        <w:t xml:space="preserve">level centroids). However, </w:t>
      </w:r>
      <w:r w:rsidR="007E45D4">
        <w:t>buffering point occurrences by</w:t>
      </w:r>
      <w:r>
        <w:t xml:space="preserve"> the degree of uncertainty </w:t>
      </w:r>
      <w:r w:rsidR="007E45D4">
        <w:t xml:space="preserve">of presence locations </w:t>
      </w:r>
      <w:r>
        <w:t>and calculating the proportion of habitat within those buffers would allow for comparisons to random habitat landscapes using range alone.</w:t>
      </w:r>
      <w:r w:rsidR="00670ABE">
        <w:t xml:space="preserve"> As with point prevalence vs. model prevalence, models that predict habitat better than random would have a mean proportion of habitat in point buffers greater than the proportion of habitat throughout the species’ range.</w:t>
      </w:r>
    </w:p>
    <w:p w:rsidR="00670ABE" w:rsidRDefault="00670ABE" w:rsidP="0068481B">
      <w:r>
        <w:rPr>
          <w:noProof/>
        </w:rPr>
        <w:drawing>
          <wp:inline distT="0" distB="0" distL="0" distR="0" wp14:anchorId="3ABDCEAF" wp14:editId="1EAED2B6">
            <wp:extent cx="4933950" cy="3609975"/>
            <wp:effectExtent l="0" t="0" r="0"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85B66" w:rsidRDefault="00285B66">
      <w:r>
        <w:br w:type="page"/>
      </w:r>
    </w:p>
    <w:p w:rsidR="00796286" w:rsidRDefault="00285B66" w:rsidP="008A2025">
      <w:pPr>
        <w:rPr>
          <w:noProof/>
        </w:rPr>
      </w:pPr>
      <w:r>
        <w:lastRenderedPageBreak/>
        <w:t>The following is an illustration of this assessment method for the Black-bellied salamander (</w:t>
      </w:r>
      <w:proofErr w:type="spellStart"/>
      <w:r w:rsidRPr="00285B66">
        <w:rPr>
          <w:i/>
        </w:rPr>
        <w:t>Desmognathus</w:t>
      </w:r>
      <w:proofErr w:type="spellEnd"/>
      <w:r w:rsidRPr="00285B66">
        <w:rPr>
          <w:i/>
        </w:rPr>
        <w:t xml:space="preserve"> </w:t>
      </w:r>
      <w:proofErr w:type="spellStart"/>
      <w:r w:rsidRPr="00285B66">
        <w:rPr>
          <w:i/>
        </w:rPr>
        <w:t>quadramaculatus</w:t>
      </w:r>
      <w:proofErr w:type="spellEnd"/>
      <w:r>
        <w:t>).</w:t>
      </w:r>
      <w:r w:rsidR="00796286">
        <w:t xml:space="preserve"> The range for this species extends throughout the south</w:t>
      </w:r>
      <w:r w:rsidR="00696504">
        <w:t>ern</w:t>
      </w:r>
      <w:r w:rsidR="00796286">
        <w:t xml:space="preserve"> Appalachian Mountains</w:t>
      </w:r>
      <w:r w:rsidR="00BF2011">
        <w:t xml:space="preserve"> from West Virginia to northern Georgia</w:t>
      </w:r>
      <w:r w:rsidR="00796286">
        <w:t xml:space="preserve">. GBIF records </w:t>
      </w:r>
      <w:proofErr w:type="gramStart"/>
      <w:r w:rsidR="00796286">
        <w:t>were obtained</w:t>
      </w:r>
      <w:proofErr w:type="gramEnd"/>
      <w:r w:rsidR="00796286">
        <w:t xml:space="preserve"> that have latitude and longitude coordinates with a measure of accuracy (uncertainty). The GAP mapped range and habitat along with the 174 GBIF records </w:t>
      </w:r>
      <w:proofErr w:type="gramStart"/>
      <w:r w:rsidR="00796286">
        <w:t>are pictured</w:t>
      </w:r>
      <w:proofErr w:type="gramEnd"/>
      <w:r w:rsidR="00796286">
        <w:t xml:space="preserve"> below where the gray polygon is the GAP range, green pixels are predicted habitat, and the black cross symbols are GBIF records.</w:t>
      </w:r>
      <w:r w:rsidR="00796286">
        <w:rPr>
          <w:noProof/>
        </w:rPr>
        <w:t xml:space="preserve"> </w:t>
      </w:r>
      <w:r w:rsidR="00E61322">
        <w:rPr>
          <w:noProof/>
        </w:rPr>
        <w:t xml:space="preserve">Model prevalence (proportion of GAP predicted habitat in range) for this species is 0.0401. </w:t>
      </w:r>
    </w:p>
    <w:p w:rsidR="00796286" w:rsidRDefault="00796286" w:rsidP="008A2025">
      <w:r>
        <w:rPr>
          <w:noProof/>
        </w:rPr>
        <w:drawing>
          <wp:inline distT="0" distB="0" distL="0" distR="0" wp14:anchorId="0846C2CB" wp14:editId="1DABA669">
            <wp:extent cx="5857875" cy="4775795"/>
            <wp:effectExtent l="19050" t="19050" r="952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A-RangeHabitatGBIF.jpg"/>
                    <pic:cNvPicPr/>
                  </pic:nvPicPr>
                  <pic:blipFill>
                    <a:blip r:embed="rId7">
                      <a:extLst>
                        <a:ext uri="{28A0092B-C50C-407E-A947-70E740481C1C}">
                          <a14:useLocalDpi xmlns:a14="http://schemas.microsoft.com/office/drawing/2010/main" val="0"/>
                        </a:ext>
                      </a:extLst>
                    </a:blip>
                    <a:stretch>
                      <a:fillRect/>
                    </a:stretch>
                  </pic:blipFill>
                  <pic:spPr>
                    <a:xfrm>
                      <a:off x="0" y="0"/>
                      <a:ext cx="5901865" cy="4811659"/>
                    </a:xfrm>
                    <a:prstGeom prst="rect">
                      <a:avLst/>
                    </a:prstGeom>
                    <a:ln>
                      <a:solidFill>
                        <a:schemeClr val="tx1"/>
                      </a:solidFill>
                    </a:ln>
                  </pic:spPr>
                </pic:pic>
              </a:graphicData>
            </a:graphic>
          </wp:inline>
        </w:drawing>
      </w:r>
    </w:p>
    <w:p w:rsidR="00934BEC" w:rsidRDefault="00934BEC">
      <w:r>
        <w:br w:type="page"/>
      </w:r>
    </w:p>
    <w:p w:rsidR="00934BEC" w:rsidRDefault="00934BEC" w:rsidP="008A2025">
      <w:r>
        <w:lastRenderedPageBreak/>
        <w:t xml:space="preserve">Each </w:t>
      </w:r>
      <w:r w:rsidR="00217973">
        <w:t>occurrence</w:t>
      </w:r>
      <w:r>
        <w:t xml:space="preserve"> location has a coordinate uncertainty measured in </w:t>
      </w:r>
      <w:r w:rsidR="0030169B">
        <w:t>meters, which</w:t>
      </w:r>
      <w:r>
        <w:t xml:space="preserve"> </w:t>
      </w:r>
      <w:proofErr w:type="gramStart"/>
      <w:r>
        <w:t>was used</w:t>
      </w:r>
      <w:proofErr w:type="gramEnd"/>
      <w:r>
        <w:t xml:space="preserve"> to generate circular buffers around each point.</w:t>
      </w:r>
      <w:r w:rsidR="005A5906">
        <w:t xml:space="preserve"> </w:t>
      </w:r>
      <w:r w:rsidR="00EE072D">
        <w:t>Occurrence</w:t>
      </w:r>
      <w:r w:rsidR="005A5906">
        <w:t xml:space="preserve"> locations with coordinate uncertainty less than 30 meters were buffered at 30 meters and only points with a coordinate uncertainty of 10000 meters or less were used in the assessment.</w:t>
      </w:r>
    </w:p>
    <w:p w:rsidR="0068481B" w:rsidRDefault="00670ABE" w:rsidP="008A2025">
      <w:r>
        <w:rPr>
          <w:noProof/>
        </w:rPr>
        <w:drawing>
          <wp:inline distT="0" distB="0" distL="0" distR="0">
            <wp:extent cx="4322760" cy="35242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intBuffers-Habitat.jpg"/>
                    <pic:cNvPicPr/>
                  </pic:nvPicPr>
                  <pic:blipFill>
                    <a:blip r:embed="rId8">
                      <a:extLst>
                        <a:ext uri="{28A0092B-C50C-407E-A947-70E740481C1C}">
                          <a14:useLocalDpi xmlns:a14="http://schemas.microsoft.com/office/drawing/2010/main" val="0"/>
                        </a:ext>
                      </a:extLst>
                    </a:blip>
                    <a:stretch>
                      <a:fillRect/>
                    </a:stretch>
                  </pic:blipFill>
                  <pic:spPr>
                    <a:xfrm>
                      <a:off x="0" y="0"/>
                      <a:ext cx="4324607" cy="3525756"/>
                    </a:xfrm>
                    <a:prstGeom prst="rect">
                      <a:avLst/>
                    </a:prstGeom>
                  </pic:spPr>
                </pic:pic>
              </a:graphicData>
            </a:graphic>
          </wp:inline>
        </w:drawing>
      </w:r>
    </w:p>
    <w:p w:rsidR="00E77C99" w:rsidRDefault="00085D36">
      <w:r>
        <w:t xml:space="preserve">The </w:t>
      </w:r>
      <w:r w:rsidR="00F54D7E">
        <w:t xml:space="preserve">proportion of </w:t>
      </w:r>
      <w:r>
        <w:t xml:space="preserve">predicted habitat amount </w:t>
      </w:r>
      <w:proofErr w:type="gramStart"/>
      <w:r>
        <w:t>was calculated</w:t>
      </w:r>
      <w:proofErr w:type="gramEnd"/>
      <w:r>
        <w:t xml:space="preserve"> for each point buffered area.</w:t>
      </w:r>
      <w:r w:rsidR="00E77C99">
        <w:t xml:space="preserve"> The histogram of </w:t>
      </w:r>
      <w:proofErr w:type="gramStart"/>
      <w:r w:rsidR="00E77C99">
        <w:t>point buffer habitat proportions</w:t>
      </w:r>
      <w:proofErr w:type="gramEnd"/>
      <w:r w:rsidR="00E77C99">
        <w:t>:</w:t>
      </w:r>
    </w:p>
    <w:p w:rsidR="00E77C99" w:rsidRDefault="00E77C99">
      <w:r w:rsidRPr="002678A3">
        <w:rPr>
          <w:noProof/>
        </w:rPr>
        <w:drawing>
          <wp:inline distT="0" distB="0" distL="0" distR="0" wp14:anchorId="6949FE89" wp14:editId="56B6B133">
            <wp:extent cx="5096586" cy="239110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6586" cy="2391109"/>
                    </a:xfrm>
                    <a:prstGeom prst="rect">
                      <a:avLst/>
                    </a:prstGeom>
                  </pic:spPr>
                </pic:pic>
              </a:graphicData>
            </a:graphic>
          </wp:inline>
        </w:drawing>
      </w:r>
    </w:p>
    <w:p w:rsidR="00E77C99" w:rsidRDefault="00E77C99">
      <w:r>
        <w:br w:type="page"/>
      </w:r>
    </w:p>
    <w:p w:rsidR="00085D36" w:rsidRDefault="00086EB0">
      <w:r>
        <w:lastRenderedPageBreak/>
        <w:t xml:space="preserve">Interestingly, </w:t>
      </w:r>
      <w:r w:rsidR="00621D35">
        <w:t xml:space="preserve">the relationship of </w:t>
      </w:r>
      <w:r>
        <w:t>point buffer radius (buffer distance</w:t>
      </w:r>
      <w:r w:rsidR="00621D35">
        <w:t>)</w:t>
      </w:r>
      <w:r>
        <w:t xml:space="preserve"> </w:t>
      </w:r>
      <w:r w:rsidR="00621D35">
        <w:t xml:space="preserve">appears to </w:t>
      </w:r>
      <w:proofErr w:type="gramStart"/>
      <w:r>
        <w:t>be negatively related</w:t>
      </w:r>
      <w:proofErr w:type="gramEnd"/>
      <w:r w:rsidR="00621D35">
        <w:t xml:space="preserve"> to habitat proportion within the buffer</w:t>
      </w:r>
      <w:r>
        <w:t>:</w:t>
      </w:r>
    </w:p>
    <w:p w:rsidR="00086EB0" w:rsidRDefault="00086EB0">
      <w:r w:rsidRPr="00086EB0">
        <w:rPr>
          <w:noProof/>
        </w:rPr>
        <w:drawing>
          <wp:inline distT="0" distB="0" distL="0" distR="0" wp14:anchorId="146D006E" wp14:editId="34B63030">
            <wp:extent cx="3352215" cy="28670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0802" cy="2882922"/>
                    </a:xfrm>
                    <a:prstGeom prst="rect">
                      <a:avLst/>
                    </a:prstGeom>
                  </pic:spPr>
                </pic:pic>
              </a:graphicData>
            </a:graphic>
          </wp:inline>
        </w:drawing>
      </w:r>
    </w:p>
    <w:p w:rsidR="002678A3" w:rsidRDefault="00BC7EB3">
      <w:r>
        <w:t>The mean proportion of habitat in point buffers was calculated</w:t>
      </w:r>
      <w:r w:rsidR="002678A3">
        <w:t xml:space="preserve"> </w:t>
      </w:r>
      <w:r w:rsidR="006C4017">
        <w:t xml:space="preserve">and plotted against the proportion of habitat in the species’ range </w:t>
      </w:r>
      <w:r w:rsidR="002678A3">
        <w:t>(</w:t>
      </w:r>
      <m:oMath>
        <m:bar>
          <m:barPr>
            <m:pos m:val="top"/>
            <m:ctrlPr>
              <w:rPr>
                <w:rFonts w:ascii="Cambria Math" w:hAnsi="Cambria Math"/>
                <w:i/>
              </w:rPr>
            </m:ctrlPr>
          </m:barPr>
          <m:e>
            <m:r>
              <w:rPr>
                <w:rFonts w:ascii="Cambria Math" w:hAnsi="Cambria Math"/>
              </w:rPr>
              <m:t>x</m:t>
            </m:r>
          </m:e>
        </m:bar>
      </m:oMath>
      <w:r w:rsidR="002678A3">
        <w:t xml:space="preserve"> = 0.2204</w:t>
      </w:r>
      <w:r w:rsidR="00374638">
        <w:t xml:space="preserve">; </w:t>
      </w:r>
      <w:r w:rsidR="00670D2A">
        <w:t>approximately</w:t>
      </w:r>
      <w:r w:rsidR="00D11459">
        <w:t xml:space="preserve"> 5</w:t>
      </w:r>
      <w:r w:rsidR="00670D2A">
        <w:t xml:space="preserve"> times</w:t>
      </w:r>
      <w:r w:rsidR="00D11459">
        <w:t xml:space="preserve"> </w:t>
      </w:r>
      <w:r w:rsidR="00374638">
        <w:t>greater than proportion of habitat in range</w:t>
      </w:r>
      <w:r w:rsidR="002678A3">
        <w:t>)</w:t>
      </w:r>
      <w:r w:rsidR="006C4017">
        <w:t>.</w:t>
      </w:r>
      <w:r>
        <w:t xml:space="preserve"> </w:t>
      </w:r>
      <w:r w:rsidR="006B1ACE">
        <w:t xml:space="preserve">Similar calculations were made for locations and their associated buffer distances for </w:t>
      </w:r>
      <w:r w:rsidR="00D876C4">
        <w:t>10</w:t>
      </w:r>
      <w:r w:rsidR="009919A5">
        <w:t xml:space="preserve"> additional species across a continuum of model </w:t>
      </w:r>
      <w:proofErr w:type="spellStart"/>
      <w:r w:rsidR="009919A5">
        <w:t>prevalences</w:t>
      </w:r>
      <w:proofErr w:type="spellEnd"/>
      <w:r w:rsidR="009919A5">
        <w:t xml:space="preserve"> (proportion of habitat in range) illustrating most species have models considered ‘better than random’.</w:t>
      </w:r>
      <w:r w:rsidR="002221AF">
        <w:t xml:space="preserve"> </w:t>
      </w:r>
    </w:p>
    <w:p w:rsidR="00B84992" w:rsidRPr="0090649F" w:rsidRDefault="005B3D54">
      <w:pPr>
        <w:rPr>
          <w:strike/>
        </w:rPr>
      </w:pPr>
      <w:r w:rsidRPr="005B3D54">
        <w:rPr>
          <w:strike/>
          <w:noProof/>
        </w:rPr>
        <w:drawing>
          <wp:inline distT="0" distB="0" distL="0" distR="0" wp14:anchorId="1EBE5A5D" wp14:editId="5F85447F">
            <wp:extent cx="4733925" cy="33547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1892" cy="3360360"/>
                    </a:xfrm>
                    <a:prstGeom prst="rect">
                      <a:avLst/>
                    </a:prstGeom>
                  </pic:spPr>
                </pic:pic>
              </a:graphicData>
            </a:graphic>
          </wp:inline>
        </w:drawing>
      </w:r>
    </w:p>
    <w:p w:rsidR="00374638" w:rsidRPr="00085D36" w:rsidRDefault="00374638" w:rsidP="00374638">
      <w:r>
        <w:lastRenderedPageBreak/>
        <w:t>Note: the size of the circles is proportional to the number of point occurrence records used to make the habitat proportion comparison for each species.</w:t>
      </w:r>
    </w:p>
    <w:p w:rsidR="00374638" w:rsidRDefault="00374638"/>
    <w:p w:rsidR="005F2960" w:rsidRDefault="005F2960">
      <w:r>
        <w:t>Species codes in the above graph are as follows:</w:t>
      </w:r>
      <w:bookmarkStart w:id="0" w:name="_GoBack"/>
      <w:bookmarkEnd w:id="0"/>
    </w:p>
    <w:tbl>
      <w:tblPr>
        <w:tblStyle w:val="TableGrid"/>
        <w:tblW w:w="0" w:type="auto"/>
        <w:tblLook w:val="04A0" w:firstRow="1" w:lastRow="0" w:firstColumn="1" w:lastColumn="0" w:noHBand="0" w:noVBand="1"/>
      </w:tblPr>
      <w:tblGrid>
        <w:gridCol w:w="1008"/>
        <w:gridCol w:w="2592"/>
        <w:gridCol w:w="2700"/>
        <w:gridCol w:w="1617"/>
        <w:gridCol w:w="1433"/>
      </w:tblGrid>
      <w:tr w:rsidR="00D05F5D" w:rsidTr="00D05F5D">
        <w:tc>
          <w:tcPr>
            <w:tcW w:w="1008" w:type="dxa"/>
          </w:tcPr>
          <w:p w:rsidR="00D05F5D" w:rsidRPr="005F2960" w:rsidRDefault="00D05F5D" w:rsidP="00030F30">
            <w:pPr>
              <w:jc w:val="center"/>
              <w:rPr>
                <w:b/>
              </w:rPr>
            </w:pPr>
            <w:r w:rsidRPr="005F2960">
              <w:rPr>
                <w:b/>
              </w:rPr>
              <w:t>Species Code</w:t>
            </w:r>
          </w:p>
        </w:tc>
        <w:tc>
          <w:tcPr>
            <w:tcW w:w="2592" w:type="dxa"/>
          </w:tcPr>
          <w:p w:rsidR="00D05F5D" w:rsidRPr="005F2960" w:rsidRDefault="00D05F5D" w:rsidP="00030F30">
            <w:pPr>
              <w:jc w:val="center"/>
              <w:rPr>
                <w:b/>
              </w:rPr>
            </w:pPr>
            <w:r w:rsidRPr="005F2960">
              <w:rPr>
                <w:b/>
              </w:rPr>
              <w:t>Scientific Name</w:t>
            </w:r>
          </w:p>
        </w:tc>
        <w:tc>
          <w:tcPr>
            <w:tcW w:w="2700" w:type="dxa"/>
          </w:tcPr>
          <w:p w:rsidR="00D05F5D" w:rsidRPr="005F2960" w:rsidRDefault="00D05F5D" w:rsidP="00030F30">
            <w:pPr>
              <w:jc w:val="center"/>
              <w:rPr>
                <w:b/>
              </w:rPr>
            </w:pPr>
            <w:r w:rsidRPr="005F2960">
              <w:rPr>
                <w:b/>
              </w:rPr>
              <w:t>Common Name</w:t>
            </w:r>
          </w:p>
        </w:tc>
        <w:tc>
          <w:tcPr>
            <w:tcW w:w="1617" w:type="dxa"/>
          </w:tcPr>
          <w:p w:rsidR="00D05F5D" w:rsidRPr="005F2960" w:rsidRDefault="00D05F5D" w:rsidP="00030F30">
            <w:pPr>
              <w:jc w:val="center"/>
              <w:rPr>
                <w:b/>
              </w:rPr>
            </w:pPr>
            <w:r>
              <w:rPr>
                <w:b/>
              </w:rPr>
              <w:t>Prop. Hab. in Range</w:t>
            </w:r>
          </w:p>
        </w:tc>
        <w:tc>
          <w:tcPr>
            <w:tcW w:w="1433" w:type="dxa"/>
          </w:tcPr>
          <w:p w:rsidR="00D05F5D" w:rsidRPr="005F2960" w:rsidRDefault="00D05F5D" w:rsidP="00030F30">
            <w:pPr>
              <w:jc w:val="center"/>
              <w:rPr>
                <w:b/>
              </w:rPr>
            </w:pPr>
            <w:r>
              <w:rPr>
                <w:b/>
              </w:rPr>
              <w:t>Prop. Hab. in Point Buffers</w:t>
            </w:r>
          </w:p>
        </w:tc>
      </w:tr>
      <w:tr w:rsidR="00D05F5D" w:rsidTr="00D05F5D">
        <w:tc>
          <w:tcPr>
            <w:tcW w:w="1008" w:type="dxa"/>
          </w:tcPr>
          <w:p w:rsidR="00D05F5D" w:rsidRPr="002D0D9E" w:rsidRDefault="00D05F5D" w:rsidP="00D05F5D">
            <w:proofErr w:type="spellStart"/>
            <w:r w:rsidRPr="002D0D9E">
              <w:t>aBESAx</w:t>
            </w:r>
            <w:proofErr w:type="spellEnd"/>
          </w:p>
        </w:tc>
        <w:tc>
          <w:tcPr>
            <w:tcW w:w="2592" w:type="dxa"/>
          </w:tcPr>
          <w:p w:rsidR="00D05F5D" w:rsidRPr="002D0D9E" w:rsidRDefault="00D05F5D" w:rsidP="00D05F5D">
            <w:proofErr w:type="spellStart"/>
            <w:r w:rsidRPr="002D0D9E">
              <w:t>Desmognathus</w:t>
            </w:r>
            <w:proofErr w:type="spellEnd"/>
            <w:r w:rsidRPr="002D0D9E">
              <w:t xml:space="preserve"> </w:t>
            </w:r>
            <w:proofErr w:type="spellStart"/>
            <w:r w:rsidRPr="002D0D9E">
              <w:t>quadramaculatus</w:t>
            </w:r>
            <w:proofErr w:type="spellEnd"/>
          </w:p>
        </w:tc>
        <w:tc>
          <w:tcPr>
            <w:tcW w:w="2700" w:type="dxa"/>
          </w:tcPr>
          <w:p w:rsidR="00D05F5D" w:rsidRPr="002D0D9E" w:rsidRDefault="00D05F5D" w:rsidP="00D05F5D">
            <w:r w:rsidRPr="002D0D9E">
              <w:t>Black-bellied Salamander</w:t>
            </w:r>
          </w:p>
        </w:tc>
        <w:tc>
          <w:tcPr>
            <w:tcW w:w="1617" w:type="dxa"/>
          </w:tcPr>
          <w:p w:rsidR="00D05F5D" w:rsidRPr="009A7735" w:rsidRDefault="00D05F5D" w:rsidP="00D05F5D">
            <w:pPr>
              <w:jc w:val="center"/>
            </w:pPr>
            <w:r w:rsidRPr="009A7735">
              <w:t>0.04</w:t>
            </w:r>
            <w:r>
              <w:t>0</w:t>
            </w:r>
          </w:p>
        </w:tc>
        <w:tc>
          <w:tcPr>
            <w:tcW w:w="1433" w:type="dxa"/>
          </w:tcPr>
          <w:p w:rsidR="00D05F5D" w:rsidRPr="00215D26" w:rsidRDefault="00D05F5D" w:rsidP="00D05F5D">
            <w:pPr>
              <w:jc w:val="center"/>
            </w:pPr>
            <w:r w:rsidRPr="00215D26">
              <w:t>0.22</w:t>
            </w:r>
            <w:r>
              <w:t>0</w:t>
            </w:r>
          </w:p>
        </w:tc>
      </w:tr>
      <w:tr w:rsidR="00D05F5D" w:rsidTr="00D05F5D">
        <w:tc>
          <w:tcPr>
            <w:tcW w:w="1008" w:type="dxa"/>
          </w:tcPr>
          <w:p w:rsidR="00D05F5D" w:rsidRPr="002D0D9E" w:rsidRDefault="00D05F5D" w:rsidP="00D05F5D">
            <w:proofErr w:type="spellStart"/>
            <w:r w:rsidRPr="002D0D9E">
              <w:t>aCGTRx</w:t>
            </w:r>
            <w:proofErr w:type="spellEnd"/>
          </w:p>
        </w:tc>
        <w:tc>
          <w:tcPr>
            <w:tcW w:w="2592" w:type="dxa"/>
          </w:tcPr>
          <w:p w:rsidR="00D05F5D" w:rsidRPr="002D0D9E" w:rsidRDefault="00D05F5D" w:rsidP="00D05F5D">
            <w:proofErr w:type="spellStart"/>
            <w:r w:rsidRPr="002D0D9E">
              <w:t>Hyla</w:t>
            </w:r>
            <w:proofErr w:type="spellEnd"/>
            <w:r w:rsidRPr="002D0D9E">
              <w:t xml:space="preserve"> </w:t>
            </w:r>
            <w:proofErr w:type="spellStart"/>
            <w:r w:rsidRPr="002D0D9E">
              <w:t>chrysoscelis</w:t>
            </w:r>
            <w:proofErr w:type="spellEnd"/>
          </w:p>
        </w:tc>
        <w:tc>
          <w:tcPr>
            <w:tcW w:w="2700" w:type="dxa"/>
          </w:tcPr>
          <w:p w:rsidR="00D05F5D" w:rsidRPr="002D0D9E" w:rsidRDefault="00D05F5D" w:rsidP="00D05F5D">
            <w:r w:rsidRPr="002D0D9E">
              <w:t xml:space="preserve">Cope's Gray </w:t>
            </w:r>
            <w:proofErr w:type="spellStart"/>
            <w:r w:rsidRPr="002D0D9E">
              <w:t>Treefrog</w:t>
            </w:r>
            <w:proofErr w:type="spellEnd"/>
          </w:p>
        </w:tc>
        <w:tc>
          <w:tcPr>
            <w:tcW w:w="1617" w:type="dxa"/>
          </w:tcPr>
          <w:p w:rsidR="00D05F5D" w:rsidRPr="009A7735" w:rsidRDefault="00D05F5D" w:rsidP="00D05F5D">
            <w:pPr>
              <w:jc w:val="center"/>
            </w:pPr>
            <w:r w:rsidRPr="009A7735">
              <w:t>0.306</w:t>
            </w:r>
          </w:p>
        </w:tc>
        <w:tc>
          <w:tcPr>
            <w:tcW w:w="1433" w:type="dxa"/>
          </w:tcPr>
          <w:p w:rsidR="00D05F5D" w:rsidRPr="00215D26" w:rsidRDefault="00D05F5D" w:rsidP="00D05F5D">
            <w:pPr>
              <w:jc w:val="center"/>
            </w:pPr>
            <w:r w:rsidRPr="00215D26">
              <w:t>0.484</w:t>
            </w:r>
          </w:p>
        </w:tc>
      </w:tr>
      <w:tr w:rsidR="00D05F5D" w:rsidTr="00D05F5D">
        <w:tc>
          <w:tcPr>
            <w:tcW w:w="1008" w:type="dxa"/>
          </w:tcPr>
          <w:p w:rsidR="00D05F5D" w:rsidRPr="002D0D9E" w:rsidRDefault="00D05F5D" w:rsidP="00D05F5D">
            <w:proofErr w:type="spellStart"/>
            <w:r w:rsidRPr="002D0D9E">
              <w:t>aCISSx</w:t>
            </w:r>
            <w:proofErr w:type="spellEnd"/>
          </w:p>
        </w:tc>
        <w:tc>
          <w:tcPr>
            <w:tcW w:w="2592" w:type="dxa"/>
          </w:tcPr>
          <w:p w:rsidR="00D05F5D" w:rsidRPr="002D0D9E" w:rsidRDefault="00D05F5D" w:rsidP="00D05F5D">
            <w:proofErr w:type="spellStart"/>
            <w:r w:rsidRPr="002D0D9E">
              <w:t>Batrachoseps</w:t>
            </w:r>
            <w:proofErr w:type="spellEnd"/>
            <w:r w:rsidRPr="002D0D9E">
              <w:t xml:space="preserve"> </w:t>
            </w:r>
            <w:proofErr w:type="spellStart"/>
            <w:r w:rsidRPr="002D0D9E">
              <w:t>pacificus</w:t>
            </w:r>
            <w:proofErr w:type="spellEnd"/>
          </w:p>
        </w:tc>
        <w:tc>
          <w:tcPr>
            <w:tcW w:w="2700" w:type="dxa"/>
          </w:tcPr>
          <w:p w:rsidR="00D05F5D" w:rsidRPr="002D0D9E" w:rsidRDefault="00D05F5D" w:rsidP="00D05F5D">
            <w:r w:rsidRPr="002D0D9E">
              <w:t>Channel Islands Slender Salamander</w:t>
            </w:r>
          </w:p>
        </w:tc>
        <w:tc>
          <w:tcPr>
            <w:tcW w:w="1617" w:type="dxa"/>
          </w:tcPr>
          <w:p w:rsidR="00D05F5D" w:rsidRPr="009A7735" w:rsidRDefault="00D05F5D" w:rsidP="00D05F5D">
            <w:pPr>
              <w:jc w:val="center"/>
            </w:pPr>
            <w:r w:rsidRPr="009A7735">
              <w:t>0.08</w:t>
            </w:r>
            <w:r w:rsidR="00015949">
              <w:t>0</w:t>
            </w:r>
          </w:p>
        </w:tc>
        <w:tc>
          <w:tcPr>
            <w:tcW w:w="1433" w:type="dxa"/>
          </w:tcPr>
          <w:p w:rsidR="00D05F5D" w:rsidRPr="00215D26" w:rsidRDefault="00D05F5D" w:rsidP="00D05F5D">
            <w:pPr>
              <w:jc w:val="center"/>
            </w:pPr>
            <w:r w:rsidRPr="00215D26">
              <w:t>0.576</w:t>
            </w:r>
          </w:p>
        </w:tc>
      </w:tr>
      <w:tr w:rsidR="00D05F5D" w:rsidTr="00D05F5D">
        <w:tc>
          <w:tcPr>
            <w:tcW w:w="1008" w:type="dxa"/>
          </w:tcPr>
          <w:p w:rsidR="00D05F5D" w:rsidRPr="002D0D9E" w:rsidRDefault="00D05F5D" w:rsidP="00D05F5D">
            <w:proofErr w:type="spellStart"/>
            <w:r w:rsidRPr="002D0D9E">
              <w:t>bBCCHx</w:t>
            </w:r>
            <w:proofErr w:type="spellEnd"/>
          </w:p>
        </w:tc>
        <w:tc>
          <w:tcPr>
            <w:tcW w:w="2592" w:type="dxa"/>
          </w:tcPr>
          <w:p w:rsidR="00D05F5D" w:rsidRPr="002D0D9E" w:rsidRDefault="00D05F5D" w:rsidP="00D05F5D">
            <w:proofErr w:type="spellStart"/>
            <w:r w:rsidRPr="002D0D9E">
              <w:t>Poecile</w:t>
            </w:r>
            <w:proofErr w:type="spellEnd"/>
            <w:r w:rsidRPr="002D0D9E">
              <w:t xml:space="preserve"> </w:t>
            </w:r>
            <w:proofErr w:type="spellStart"/>
            <w:r w:rsidRPr="002D0D9E">
              <w:t>atricapillus</w:t>
            </w:r>
            <w:proofErr w:type="spellEnd"/>
          </w:p>
        </w:tc>
        <w:tc>
          <w:tcPr>
            <w:tcW w:w="2700" w:type="dxa"/>
          </w:tcPr>
          <w:p w:rsidR="00D05F5D" w:rsidRPr="002D0D9E" w:rsidRDefault="00D05F5D" w:rsidP="00D05F5D">
            <w:r w:rsidRPr="002D0D9E">
              <w:t>Black-capped Chickadee</w:t>
            </w:r>
          </w:p>
        </w:tc>
        <w:tc>
          <w:tcPr>
            <w:tcW w:w="1617" w:type="dxa"/>
          </w:tcPr>
          <w:p w:rsidR="00D05F5D" w:rsidRPr="009A7735" w:rsidRDefault="00D05F5D" w:rsidP="00D05F5D">
            <w:pPr>
              <w:jc w:val="center"/>
            </w:pPr>
            <w:r w:rsidRPr="009A7735">
              <w:t>0.212</w:t>
            </w:r>
          </w:p>
        </w:tc>
        <w:tc>
          <w:tcPr>
            <w:tcW w:w="1433" w:type="dxa"/>
          </w:tcPr>
          <w:p w:rsidR="00D05F5D" w:rsidRPr="00215D26" w:rsidRDefault="00D05F5D" w:rsidP="00D05F5D">
            <w:pPr>
              <w:jc w:val="center"/>
            </w:pPr>
            <w:r w:rsidRPr="00215D26">
              <w:t>0.527</w:t>
            </w:r>
          </w:p>
        </w:tc>
      </w:tr>
      <w:tr w:rsidR="00D05F5D" w:rsidTr="00D05F5D">
        <w:tc>
          <w:tcPr>
            <w:tcW w:w="1008" w:type="dxa"/>
          </w:tcPr>
          <w:p w:rsidR="00D05F5D" w:rsidRPr="002D0D9E" w:rsidRDefault="00D05F5D" w:rsidP="00D05F5D">
            <w:proofErr w:type="spellStart"/>
            <w:r w:rsidRPr="002D0D9E">
              <w:t>bEAWPx</w:t>
            </w:r>
            <w:proofErr w:type="spellEnd"/>
          </w:p>
        </w:tc>
        <w:tc>
          <w:tcPr>
            <w:tcW w:w="2592" w:type="dxa"/>
          </w:tcPr>
          <w:p w:rsidR="00D05F5D" w:rsidRPr="002D0D9E" w:rsidRDefault="00D05F5D" w:rsidP="00D05F5D">
            <w:proofErr w:type="spellStart"/>
            <w:r w:rsidRPr="002D0D9E">
              <w:t>Contopus</w:t>
            </w:r>
            <w:proofErr w:type="spellEnd"/>
            <w:r w:rsidRPr="002D0D9E">
              <w:t xml:space="preserve"> </w:t>
            </w:r>
            <w:proofErr w:type="spellStart"/>
            <w:r w:rsidRPr="002D0D9E">
              <w:t>virens</w:t>
            </w:r>
            <w:proofErr w:type="spellEnd"/>
          </w:p>
        </w:tc>
        <w:tc>
          <w:tcPr>
            <w:tcW w:w="2700" w:type="dxa"/>
          </w:tcPr>
          <w:p w:rsidR="00D05F5D" w:rsidRPr="002D0D9E" w:rsidRDefault="00D05F5D" w:rsidP="00D05F5D">
            <w:r w:rsidRPr="002D0D9E">
              <w:t>Eastern Wood-pewee</w:t>
            </w:r>
          </w:p>
        </w:tc>
        <w:tc>
          <w:tcPr>
            <w:tcW w:w="1617" w:type="dxa"/>
          </w:tcPr>
          <w:p w:rsidR="00D05F5D" w:rsidRPr="009A7735" w:rsidRDefault="00D05F5D" w:rsidP="00D05F5D">
            <w:pPr>
              <w:jc w:val="center"/>
            </w:pPr>
            <w:r w:rsidRPr="009A7735">
              <w:t>0.388</w:t>
            </w:r>
          </w:p>
        </w:tc>
        <w:tc>
          <w:tcPr>
            <w:tcW w:w="1433" w:type="dxa"/>
          </w:tcPr>
          <w:p w:rsidR="00D05F5D" w:rsidRPr="00215D26" w:rsidRDefault="00D05F5D" w:rsidP="00D05F5D">
            <w:pPr>
              <w:jc w:val="center"/>
            </w:pPr>
            <w:r w:rsidRPr="00215D26">
              <w:t>0.456</w:t>
            </w:r>
          </w:p>
        </w:tc>
      </w:tr>
      <w:tr w:rsidR="00D05F5D" w:rsidTr="00D05F5D">
        <w:tc>
          <w:tcPr>
            <w:tcW w:w="1008" w:type="dxa"/>
          </w:tcPr>
          <w:p w:rsidR="00D05F5D" w:rsidRPr="002D0D9E" w:rsidRDefault="00D05F5D" w:rsidP="00D05F5D">
            <w:proofErr w:type="spellStart"/>
            <w:r w:rsidRPr="002D0D9E">
              <w:t>bWHSOx</w:t>
            </w:r>
            <w:proofErr w:type="spellEnd"/>
          </w:p>
        </w:tc>
        <w:tc>
          <w:tcPr>
            <w:tcW w:w="2592" w:type="dxa"/>
          </w:tcPr>
          <w:p w:rsidR="00D05F5D" w:rsidRPr="002D0D9E" w:rsidRDefault="00D05F5D" w:rsidP="00D05F5D">
            <w:proofErr w:type="spellStart"/>
            <w:r w:rsidRPr="002D0D9E">
              <w:t>Megascops</w:t>
            </w:r>
            <w:proofErr w:type="spellEnd"/>
            <w:r w:rsidRPr="002D0D9E">
              <w:t xml:space="preserve"> </w:t>
            </w:r>
            <w:proofErr w:type="spellStart"/>
            <w:r w:rsidRPr="002D0D9E">
              <w:t>trichopsis</w:t>
            </w:r>
            <w:proofErr w:type="spellEnd"/>
          </w:p>
        </w:tc>
        <w:tc>
          <w:tcPr>
            <w:tcW w:w="2700" w:type="dxa"/>
          </w:tcPr>
          <w:p w:rsidR="00D05F5D" w:rsidRPr="002D0D9E" w:rsidRDefault="00D05F5D" w:rsidP="00D05F5D">
            <w:r w:rsidRPr="002D0D9E">
              <w:t>Whiskered Screech-owl</w:t>
            </w:r>
          </w:p>
        </w:tc>
        <w:tc>
          <w:tcPr>
            <w:tcW w:w="1617" w:type="dxa"/>
          </w:tcPr>
          <w:p w:rsidR="00D05F5D" w:rsidRPr="009A7735" w:rsidRDefault="00D05F5D" w:rsidP="00D05F5D">
            <w:pPr>
              <w:jc w:val="center"/>
            </w:pPr>
            <w:r w:rsidRPr="009A7735">
              <w:t>0.137</w:t>
            </w:r>
          </w:p>
        </w:tc>
        <w:tc>
          <w:tcPr>
            <w:tcW w:w="1433" w:type="dxa"/>
          </w:tcPr>
          <w:p w:rsidR="00D05F5D" w:rsidRPr="00215D26" w:rsidRDefault="00D05F5D" w:rsidP="00D05F5D">
            <w:pPr>
              <w:jc w:val="center"/>
            </w:pPr>
            <w:r w:rsidRPr="00215D26">
              <w:t>0.719</w:t>
            </w:r>
          </w:p>
        </w:tc>
      </w:tr>
      <w:tr w:rsidR="00D05F5D" w:rsidTr="00D05F5D">
        <w:tc>
          <w:tcPr>
            <w:tcW w:w="1008" w:type="dxa"/>
          </w:tcPr>
          <w:p w:rsidR="00D05F5D" w:rsidRPr="002D0D9E" w:rsidRDefault="00D05F5D" w:rsidP="00D05F5D">
            <w:proofErr w:type="spellStart"/>
            <w:r w:rsidRPr="002D0D9E">
              <w:t>mBTJAx</w:t>
            </w:r>
            <w:proofErr w:type="spellEnd"/>
          </w:p>
        </w:tc>
        <w:tc>
          <w:tcPr>
            <w:tcW w:w="2592" w:type="dxa"/>
          </w:tcPr>
          <w:p w:rsidR="00D05F5D" w:rsidRPr="002D0D9E" w:rsidRDefault="00D05F5D" w:rsidP="00D05F5D">
            <w:r w:rsidRPr="002D0D9E">
              <w:t xml:space="preserve">Lepus </w:t>
            </w:r>
            <w:proofErr w:type="spellStart"/>
            <w:r w:rsidRPr="002D0D9E">
              <w:t>californicus</w:t>
            </w:r>
            <w:proofErr w:type="spellEnd"/>
          </w:p>
        </w:tc>
        <w:tc>
          <w:tcPr>
            <w:tcW w:w="2700" w:type="dxa"/>
          </w:tcPr>
          <w:p w:rsidR="00D05F5D" w:rsidRPr="002D0D9E" w:rsidRDefault="00D05F5D" w:rsidP="00D05F5D">
            <w:r w:rsidRPr="002D0D9E">
              <w:t>Black-tailed Jackrabbit</w:t>
            </w:r>
          </w:p>
        </w:tc>
        <w:tc>
          <w:tcPr>
            <w:tcW w:w="1617" w:type="dxa"/>
          </w:tcPr>
          <w:p w:rsidR="00D05F5D" w:rsidRPr="009A7735" w:rsidRDefault="00D05F5D" w:rsidP="00D05F5D">
            <w:pPr>
              <w:jc w:val="center"/>
            </w:pPr>
            <w:r w:rsidRPr="009A7735">
              <w:t>0.668</w:t>
            </w:r>
          </w:p>
        </w:tc>
        <w:tc>
          <w:tcPr>
            <w:tcW w:w="1433" w:type="dxa"/>
          </w:tcPr>
          <w:p w:rsidR="00D05F5D" w:rsidRPr="00215D26" w:rsidRDefault="00D05F5D" w:rsidP="00D05F5D">
            <w:pPr>
              <w:jc w:val="center"/>
            </w:pPr>
            <w:r w:rsidRPr="00215D26">
              <w:t>0.522</w:t>
            </w:r>
          </w:p>
        </w:tc>
      </w:tr>
      <w:tr w:rsidR="00D05F5D" w:rsidTr="00D05F5D">
        <w:tc>
          <w:tcPr>
            <w:tcW w:w="1008" w:type="dxa"/>
          </w:tcPr>
          <w:p w:rsidR="00D05F5D" w:rsidRPr="002D0D9E" w:rsidRDefault="00D05F5D" w:rsidP="00D05F5D">
            <w:proofErr w:type="spellStart"/>
            <w:r w:rsidRPr="002D0D9E">
              <w:t>mBTKRx</w:t>
            </w:r>
            <w:proofErr w:type="spellEnd"/>
          </w:p>
        </w:tc>
        <w:tc>
          <w:tcPr>
            <w:tcW w:w="2592" w:type="dxa"/>
          </w:tcPr>
          <w:p w:rsidR="00D05F5D" w:rsidRPr="002D0D9E" w:rsidRDefault="00D05F5D" w:rsidP="00D05F5D">
            <w:proofErr w:type="spellStart"/>
            <w:r w:rsidRPr="002D0D9E">
              <w:t>Dipodomys</w:t>
            </w:r>
            <w:proofErr w:type="spellEnd"/>
            <w:r w:rsidRPr="002D0D9E">
              <w:t xml:space="preserve"> </w:t>
            </w:r>
            <w:proofErr w:type="spellStart"/>
            <w:r w:rsidRPr="002D0D9E">
              <w:t>spectabilis</w:t>
            </w:r>
            <w:proofErr w:type="spellEnd"/>
          </w:p>
        </w:tc>
        <w:tc>
          <w:tcPr>
            <w:tcW w:w="2700" w:type="dxa"/>
          </w:tcPr>
          <w:p w:rsidR="00D05F5D" w:rsidRPr="002D0D9E" w:rsidRDefault="00D05F5D" w:rsidP="00D05F5D">
            <w:r w:rsidRPr="002D0D9E">
              <w:t>Banner-tailed Kangaroo Rat</w:t>
            </w:r>
          </w:p>
        </w:tc>
        <w:tc>
          <w:tcPr>
            <w:tcW w:w="1617" w:type="dxa"/>
          </w:tcPr>
          <w:p w:rsidR="00D05F5D" w:rsidRPr="009A7735" w:rsidRDefault="00D05F5D" w:rsidP="00D05F5D">
            <w:pPr>
              <w:jc w:val="center"/>
            </w:pPr>
            <w:r w:rsidRPr="009A7735">
              <w:t>0.471</w:t>
            </w:r>
          </w:p>
        </w:tc>
        <w:tc>
          <w:tcPr>
            <w:tcW w:w="1433" w:type="dxa"/>
          </w:tcPr>
          <w:p w:rsidR="00D05F5D" w:rsidRPr="00215D26" w:rsidRDefault="00D05F5D" w:rsidP="00D05F5D">
            <w:pPr>
              <w:jc w:val="center"/>
            </w:pPr>
            <w:r w:rsidRPr="00215D26">
              <w:t>0.619</w:t>
            </w:r>
          </w:p>
        </w:tc>
      </w:tr>
      <w:tr w:rsidR="00D05F5D" w:rsidTr="00D05F5D">
        <w:tc>
          <w:tcPr>
            <w:tcW w:w="1008" w:type="dxa"/>
          </w:tcPr>
          <w:p w:rsidR="00D05F5D" w:rsidRPr="002D0D9E" w:rsidRDefault="00D05F5D" w:rsidP="00D05F5D">
            <w:proofErr w:type="spellStart"/>
            <w:r w:rsidRPr="002D0D9E">
              <w:t>mLOCHx</w:t>
            </w:r>
            <w:proofErr w:type="spellEnd"/>
          </w:p>
        </w:tc>
        <w:tc>
          <w:tcPr>
            <w:tcW w:w="2592" w:type="dxa"/>
          </w:tcPr>
          <w:p w:rsidR="00D05F5D" w:rsidRPr="002D0D9E" w:rsidRDefault="00D05F5D" w:rsidP="00D05F5D">
            <w:proofErr w:type="spellStart"/>
            <w:r w:rsidRPr="002D0D9E">
              <w:t>Tamias</w:t>
            </w:r>
            <w:proofErr w:type="spellEnd"/>
            <w:r w:rsidRPr="002D0D9E">
              <w:t xml:space="preserve"> </w:t>
            </w:r>
            <w:proofErr w:type="spellStart"/>
            <w:r w:rsidRPr="002D0D9E">
              <w:t>speciosus</w:t>
            </w:r>
            <w:proofErr w:type="spellEnd"/>
          </w:p>
        </w:tc>
        <w:tc>
          <w:tcPr>
            <w:tcW w:w="2700" w:type="dxa"/>
          </w:tcPr>
          <w:p w:rsidR="00D05F5D" w:rsidRPr="002D0D9E" w:rsidRDefault="00D05F5D" w:rsidP="00D05F5D">
            <w:proofErr w:type="spellStart"/>
            <w:r w:rsidRPr="002D0D9E">
              <w:t>Lodgepole</w:t>
            </w:r>
            <w:proofErr w:type="spellEnd"/>
            <w:r w:rsidRPr="002D0D9E">
              <w:t xml:space="preserve"> Chipmunk</w:t>
            </w:r>
          </w:p>
        </w:tc>
        <w:tc>
          <w:tcPr>
            <w:tcW w:w="1617" w:type="dxa"/>
          </w:tcPr>
          <w:p w:rsidR="00D05F5D" w:rsidRPr="009A7735" w:rsidRDefault="00D05F5D" w:rsidP="00D05F5D">
            <w:pPr>
              <w:jc w:val="center"/>
            </w:pPr>
            <w:r w:rsidRPr="009A7735">
              <w:t>0.322</w:t>
            </w:r>
          </w:p>
        </w:tc>
        <w:tc>
          <w:tcPr>
            <w:tcW w:w="1433" w:type="dxa"/>
          </w:tcPr>
          <w:p w:rsidR="00D05F5D" w:rsidRPr="00215D26" w:rsidRDefault="00D05F5D" w:rsidP="00D05F5D">
            <w:pPr>
              <w:jc w:val="center"/>
            </w:pPr>
            <w:r w:rsidRPr="00215D26">
              <w:t>0.464</w:t>
            </w:r>
          </w:p>
        </w:tc>
      </w:tr>
      <w:tr w:rsidR="00D05F5D" w:rsidTr="00D05F5D">
        <w:tc>
          <w:tcPr>
            <w:tcW w:w="1008" w:type="dxa"/>
          </w:tcPr>
          <w:p w:rsidR="00D05F5D" w:rsidRPr="002D0D9E" w:rsidRDefault="00D05F5D" w:rsidP="00D05F5D">
            <w:proofErr w:type="spellStart"/>
            <w:r w:rsidRPr="002D0D9E">
              <w:t>mRTGSx</w:t>
            </w:r>
            <w:proofErr w:type="spellEnd"/>
          </w:p>
        </w:tc>
        <w:tc>
          <w:tcPr>
            <w:tcW w:w="2592" w:type="dxa"/>
          </w:tcPr>
          <w:p w:rsidR="00D05F5D" w:rsidRPr="002D0D9E" w:rsidRDefault="00D05F5D" w:rsidP="00D05F5D">
            <w:proofErr w:type="spellStart"/>
            <w:r w:rsidRPr="002D0D9E">
              <w:t>Spermophilus</w:t>
            </w:r>
            <w:proofErr w:type="spellEnd"/>
            <w:r w:rsidRPr="002D0D9E">
              <w:t xml:space="preserve"> </w:t>
            </w:r>
            <w:proofErr w:type="spellStart"/>
            <w:r w:rsidRPr="002D0D9E">
              <w:t>tereticaudus</w:t>
            </w:r>
            <w:proofErr w:type="spellEnd"/>
          </w:p>
        </w:tc>
        <w:tc>
          <w:tcPr>
            <w:tcW w:w="2700" w:type="dxa"/>
          </w:tcPr>
          <w:p w:rsidR="00D05F5D" w:rsidRPr="002D0D9E" w:rsidRDefault="00D05F5D" w:rsidP="00D05F5D">
            <w:r w:rsidRPr="002D0D9E">
              <w:t>Round-tailed Ground Squirrel</w:t>
            </w:r>
          </w:p>
        </w:tc>
        <w:tc>
          <w:tcPr>
            <w:tcW w:w="1617" w:type="dxa"/>
          </w:tcPr>
          <w:p w:rsidR="00D05F5D" w:rsidRPr="009A7735" w:rsidRDefault="00D05F5D" w:rsidP="00D05F5D">
            <w:pPr>
              <w:jc w:val="center"/>
            </w:pPr>
            <w:r w:rsidRPr="009A7735">
              <w:t>0.565</w:t>
            </w:r>
          </w:p>
        </w:tc>
        <w:tc>
          <w:tcPr>
            <w:tcW w:w="1433" w:type="dxa"/>
          </w:tcPr>
          <w:p w:rsidR="00D05F5D" w:rsidRPr="00215D26" w:rsidRDefault="00D05F5D" w:rsidP="00D05F5D">
            <w:pPr>
              <w:jc w:val="center"/>
            </w:pPr>
            <w:r w:rsidRPr="00215D26">
              <w:t>0.415</w:t>
            </w:r>
          </w:p>
        </w:tc>
      </w:tr>
      <w:tr w:rsidR="00D05F5D" w:rsidTr="00D05F5D">
        <w:tc>
          <w:tcPr>
            <w:tcW w:w="1008" w:type="dxa"/>
          </w:tcPr>
          <w:p w:rsidR="00D05F5D" w:rsidRPr="002D0D9E" w:rsidRDefault="00D05F5D" w:rsidP="00D05F5D">
            <w:proofErr w:type="spellStart"/>
            <w:r w:rsidRPr="002D0D9E">
              <w:t>rRBMTx</w:t>
            </w:r>
            <w:proofErr w:type="spellEnd"/>
          </w:p>
        </w:tc>
        <w:tc>
          <w:tcPr>
            <w:tcW w:w="2592" w:type="dxa"/>
          </w:tcPr>
          <w:p w:rsidR="00D05F5D" w:rsidRPr="002D0D9E" w:rsidRDefault="00D05F5D" w:rsidP="00D05F5D">
            <w:proofErr w:type="spellStart"/>
            <w:r w:rsidRPr="002D0D9E">
              <w:t>Sternotherus</w:t>
            </w:r>
            <w:proofErr w:type="spellEnd"/>
            <w:r w:rsidRPr="002D0D9E">
              <w:t xml:space="preserve"> </w:t>
            </w:r>
            <w:proofErr w:type="spellStart"/>
            <w:r w:rsidRPr="002D0D9E">
              <w:t>carinatus</w:t>
            </w:r>
            <w:proofErr w:type="spellEnd"/>
          </w:p>
        </w:tc>
        <w:tc>
          <w:tcPr>
            <w:tcW w:w="2700" w:type="dxa"/>
          </w:tcPr>
          <w:p w:rsidR="00D05F5D" w:rsidRDefault="00D05F5D" w:rsidP="00D05F5D">
            <w:r w:rsidRPr="002D0D9E">
              <w:t>Razor-backed Musk Turtle</w:t>
            </w:r>
          </w:p>
        </w:tc>
        <w:tc>
          <w:tcPr>
            <w:tcW w:w="1617" w:type="dxa"/>
          </w:tcPr>
          <w:p w:rsidR="00D05F5D" w:rsidRDefault="00D05F5D" w:rsidP="00D05F5D">
            <w:pPr>
              <w:jc w:val="center"/>
            </w:pPr>
            <w:r w:rsidRPr="009A7735">
              <w:t>0.033</w:t>
            </w:r>
          </w:p>
        </w:tc>
        <w:tc>
          <w:tcPr>
            <w:tcW w:w="1433" w:type="dxa"/>
          </w:tcPr>
          <w:p w:rsidR="00D05F5D" w:rsidRDefault="00D05F5D" w:rsidP="00D05F5D">
            <w:pPr>
              <w:jc w:val="center"/>
            </w:pPr>
            <w:r w:rsidRPr="00215D26">
              <w:t>0.195</w:t>
            </w:r>
          </w:p>
        </w:tc>
      </w:tr>
    </w:tbl>
    <w:p w:rsidR="005F2960" w:rsidRDefault="005F2960"/>
    <w:p w:rsidR="00374638" w:rsidRDefault="00374638"/>
    <w:p w:rsidR="00374638" w:rsidRDefault="00374638"/>
    <w:p w:rsidR="00FA7038" w:rsidRDefault="00683BA0">
      <w:proofErr w:type="spellStart"/>
      <w:r w:rsidRPr="00683BA0">
        <w:t>Rondinini</w:t>
      </w:r>
      <w:proofErr w:type="spellEnd"/>
      <w:r w:rsidRPr="00683BA0">
        <w:t xml:space="preserve">, C., Di Marco, M., </w:t>
      </w:r>
      <w:proofErr w:type="spellStart"/>
      <w:r w:rsidRPr="00683BA0">
        <w:t>Chiozza</w:t>
      </w:r>
      <w:proofErr w:type="spellEnd"/>
      <w:r w:rsidRPr="00683BA0">
        <w:t xml:space="preserve">, F., </w:t>
      </w:r>
      <w:proofErr w:type="spellStart"/>
      <w:r w:rsidRPr="00683BA0">
        <w:t>Santulli</w:t>
      </w:r>
      <w:proofErr w:type="spellEnd"/>
      <w:r w:rsidRPr="00683BA0">
        <w:t xml:space="preserve">, G., </w:t>
      </w:r>
      <w:proofErr w:type="spellStart"/>
      <w:r w:rsidRPr="00683BA0">
        <w:t>Baisero</w:t>
      </w:r>
      <w:proofErr w:type="spellEnd"/>
      <w:r w:rsidRPr="00683BA0">
        <w:t>, D., Visconti, P</w:t>
      </w:r>
      <w:proofErr w:type="gramStart"/>
      <w:r w:rsidRPr="00683BA0">
        <w:t>., ...</w:t>
      </w:r>
      <w:proofErr w:type="gramEnd"/>
      <w:r w:rsidRPr="00683BA0">
        <w:t xml:space="preserve"> </w:t>
      </w:r>
      <w:proofErr w:type="spellStart"/>
      <w:r w:rsidRPr="00683BA0">
        <w:t>Boitani</w:t>
      </w:r>
      <w:proofErr w:type="spellEnd"/>
      <w:r w:rsidRPr="00683BA0">
        <w:t>, L. (2011). Global habitat suitability models of terrestrial mammals. Philosophical Transaction of the Royal Society B: Biological Sciences, 366, 2633-2641.</w:t>
      </w:r>
    </w:p>
    <w:p w:rsidR="00FA7038" w:rsidRDefault="00FA7038">
      <w:r>
        <w:br w:type="page"/>
      </w:r>
    </w:p>
    <w:p w:rsidR="00925568" w:rsidRDefault="00A17C99">
      <w:r>
        <w:lastRenderedPageBreak/>
        <w:t>NOTES</w:t>
      </w:r>
    </w:p>
    <w:p w:rsidR="00925568" w:rsidRDefault="00925568">
      <w:r>
        <w:t xml:space="preserve">Here is a proposed workflow to conduct these analyses using scripting. Using Python, the workflow would require the </w:t>
      </w:r>
      <w:hyperlink r:id="rId12" w:history="1">
        <w:proofErr w:type="spellStart"/>
        <w:r w:rsidRPr="00261F5E">
          <w:rPr>
            <w:rStyle w:val="Hyperlink"/>
            <w:b/>
          </w:rPr>
          <w:t>pygbif</w:t>
        </w:r>
        <w:proofErr w:type="spellEnd"/>
      </w:hyperlink>
      <w:r>
        <w:t xml:space="preserve"> </w:t>
      </w:r>
      <w:r w:rsidR="00261F5E">
        <w:t xml:space="preserve">and </w:t>
      </w:r>
      <w:hyperlink r:id="rId13" w:history="1">
        <w:r w:rsidR="00261F5E" w:rsidRPr="00261F5E">
          <w:rPr>
            <w:rStyle w:val="Hyperlink"/>
            <w:b/>
          </w:rPr>
          <w:t>python-</w:t>
        </w:r>
        <w:proofErr w:type="spellStart"/>
        <w:r w:rsidR="00261F5E" w:rsidRPr="00261F5E">
          <w:rPr>
            <w:rStyle w:val="Hyperlink"/>
            <w:b/>
          </w:rPr>
          <w:t>dwca</w:t>
        </w:r>
        <w:proofErr w:type="spellEnd"/>
        <w:r w:rsidR="00261F5E" w:rsidRPr="00261F5E">
          <w:rPr>
            <w:rStyle w:val="Hyperlink"/>
            <w:b/>
          </w:rPr>
          <w:t>-reader</w:t>
        </w:r>
      </w:hyperlink>
      <w:r w:rsidR="00261F5E">
        <w:t xml:space="preserve"> </w:t>
      </w:r>
      <w:r>
        <w:t>package</w:t>
      </w:r>
      <w:r w:rsidR="00261F5E">
        <w:t>s</w:t>
      </w:r>
      <w:r>
        <w:t xml:space="preserve"> </w:t>
      </w:r>
      <w:r w:rsidR="00261F5E">
        <w:t xml:space="preserve">as well as Pandas for </w:t>
      </w:r>
      <w:proofErr w:type="spellStart"/>
      <w:r w:rsidR="00261F5E">
        <w:t>dataframe</w:t>
      </w:r>
      <w:proofErr w:type="spellEnd"/>
      <w:r w:rsidR="00261F5E">
        <w:t xml:space="preserve"> manipulation.</w:t>
      </w:r>
      <w:r w:rsidR="00946DDB">
        <w:t xml:space="preserve"> Utilizing the </w:t>
      </w:r>
      <w:proofErr w:type="spellStart"/>
      <w:r w:rsidR="00946DDB" w:rsidRPr="00946DDB">
        <w:rPr>
          <w:b/>
        </w:rPr>
        <w:t>pygbif</w:t>
      </w:r>
      <w:proofErr w:type="spellEnd"/>
      <w:r w:rsidR="00946DDB">
        <w:t xml:space="preserve"> package would be exclusive to accessing the GBIF API and would require the user to have an account, along with username and password, to access the functionality of downloading GBIF occurrences programmatically.</w:t>
      </w:r>
    </w:p>
    <w:p w:rsidR="00D07070" w:rsidRDefault="00D07070" w:rsidP="008215B1">
      <w:pPr>
        <w:pStyle w:val="ListParagraph"/>
        <w:numPr>
          <w:ilvl w:val="0"/>
          <w:numId w:val="2"/>
        </w:numPr>
      </w:pPr>
      <w:r>
        <w:t xml:space="preserve">Create a script, function, or module that downloads GBIF occurrences. Note that using the </w:t>
      </w:r>
      <w:proofErr w:type="spellStart"/>
      <w:r>
        <w:t>occurrences.search</w:t>
      </w:r>
      <w:proofErr w:type="spellEnd"/>
      <w:r>
        <w:t xml:space="preserve"> functionality of </w:t>
      </w:r>
      <w:proofErr w:type="spellStart"/>
      <w:r w:rsidRPr="00D07070">
        <w:rPr>
          <w:b/>
        </w:rPr>
        <w:t>pygbif</w:t>
      </w:r>
      <w:proofErr w:type="spellEnd"/>
      <w:r>
        <w:t xml:space="preserve"> is limited to 300 recor</w:t>
      </w:r>
      <w:r w:rsidR="000B588D">
        <w:t>ds/page and 200,000 records/</w:t>
      </w:r>
      <w:r>
        <w:t xml:space="preserve">request. Using the </w:t>
      </w:r>
      <w:proofErr w:type="spellStart"/>
      <w:r>
        <w:t>occurrences.download</w:t>
      </w:r>
      <w:proofErr w:type="spellEnd"/>
      <w:r>
        <w:t xml:space="preserve"> function with a username and password is not limited to 200,000 records/request.</w:t>
      </w:r>
    </w:p>
    <w:p w:rsidR="00FA7038" w:rsidRDefault="00DE777F" w:rsidP="008215B1">
      <w:pPr>
        <w:pStyle w:val="ListParagraph"/>
        <w:numPr>
          <w:ilvl w:val="0"/>
          <w:numId w:val="2"/>
        </w:numPr>
      </w:pPr>
      <w:r>
        <w:t xml:space="preserve">Create a script(s), function(s), or module that processes downloaded GBIF records to filter records accordingly. Flexibility of these programmatic methods would be necessary to account for various taxa </w:t>
      </w:r>
      <w:r w:rsidR="00F61271">
        <w:t xml:space="preserve">and provide </w:t>
      </w:r>
      <w:r>
        <w:t>utility to other types of analyses.</w:t>
      </w:r>
    </w:p>
    <w:p w:rsidR="00F47E92" w:rsidRDefault="00F47E92" w:rsidP="008215B1">
      <w:pPr>
        <w:pStyle w:val="ListParagraph"/>
        <w:numPr>
          <w:ilvl w:val="0"/>
          <w:numId w:val="2"/>
        </w:numPr>
      </w:pPr>
      <w:r>
        <w:t>Create a script(s), function(s), or module that creates spatial versions of the occurrence data based on the latitude and longitude and coordinate uncertainty of the occurrences. That is, vector datasets of points and point buffers.</w:t>
      </w:r>
    </w:p>
    <w:p w:rsidR="008730F2" w:rsidRPr="00D07070" w:rsidRDefault="008730F2" w:rsidP="008215B1">
      <w:pPr>
        <w:pStyle w:val="ListParagraph"/>
        <w:numPr>
          <w:ilvl w:val="0"/>
          <w:numId w:val="2"/>
        </w:numPr>
      </w:pPr>
      <w:r>
        <w:t>Create a script</w:t>
      </w:r>
      <w:r w:rsidR="00E06932">
        <w:t>, function</w:t>
      </w:r>
      <w:r>
        <w:t>, or module that performs spatial analyses between point buffers and species</w:t>
      </w:r>
      <w:r w:rsidR="000B588D">
        <w:t>’</w:t>
      </w:r>
      <w:r>
        <w:t xml:space="preserve"> habitat </w:t>
      </w:r>
      <w:proofErr w:type="spellStart"/>
      <w:r>
        <w:t>rasters</w:t>
      </w:r>
      <w:proofErr w:type="spellEnd"/>
      <w:r>
        <w:t xml:space="preserve"> to calculate and compare for each species the mean proportion of habitat within point buffers and the proportion of habitat within the species</w:t>
      </w:r>
      <w:r w:rsidR="0019099C">
        <w:t>’</w:t>
      </w:r>
      <w:r>
        <w:t xml:space="preserve"> range (model prevalence).</w:t>
      </w:r>
    </w:p>
    <w:sectPr w:rsidR="008730F2" w:rsidRPr="00D07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866E3"/>
    <w:multiLevelType w:val="hybridMultilevel"/>
    <w:tmpl w:val="9A509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32BD6"/>
    <w:multiLevelType w:val="hybridMultilevel"/>
    <w:tmpl w:val="C90C6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BA0"/>
    <w:rsid w:val="00015949"/>
    <w:rsid w:val="00030F30"/>
    <w:rsid w:val="0006292D"/>
    <w:rsid w:val="00062E45"/>
    <w:rsid w:val="00063BA4"/>
    <w:rsid w:val="00085D36"/>
    <w:rsid w:val="00086EB0"/>
    <w:rsid w:val="000B588D"/>
    <w:rsid w:val="000C7B8C"/>
    <w:rsid w:val="000D108A"/>
    <w:rsid w:val="00117901"/>
    <w:rsid w:val="001658CF"/>
    <w:rsid w:val="0019099C"/>
    <w:rsid w:val="00190D30"/>
    <w:rsid w:val="001A14E3"/>
    <w:rsid w:val="001A64B2"/>
    <w:rsid w:val="001B109E"/>
    <w:rsid w:val="001C7929"/>
    <w:rsid w:val="001E6BCF"/>
    <w:rsid w:val="001F041C"/>
    <w:rsid w:val="001F5395"/>
    <w:rsid w:val="00216711"/>
    <w:rsid w:val="00217973"/>
    <w:rsid w:val="002221AF"/>
    <w:rsid w:val="00261F5E"/>
    <w:rsid w:val="002678A3"/>
    <w:rsid w:val="00285B66"/>
    <w:rsid w:val="0030169B"/>
    <w:rsid w:val="003328AA"/>
    <w:rsid w:val="00346A2D"/>
    <w:rsid w:val="00365B95"/>
    <w:rsid w:val="00374638"/>
    <w:rsid w:val="003C30C8"/>
    <w:rsid w:val="003E3AAE"/>
    <w:rsid w:val="003F3E2D"/>
    <w:rsid w:val="003F3F39"/>
    <w:rsid w:val="004036B9"/>
    <w:rsid w:val="004A2B8F"/>
    <w:rsid w:val="004C3A0E"/>
    <w:rsid w:val="004C7330"/>
    <w:rsid w:val="004D3E29"/>
    <w:rsid w:val="00501A68"/>
    <w:rsid w:val="005060A0"/>
    <w:rsid w:val="00546C79"/>
    <w:rsid w:val="005772BC"/>
    <w:rsid w:val="005A5906"/>
    <w:rsid w:val="005B3D54"/>
    <w:rsid w:val="005F2960"/>
    <w:rsid w:val="00621D35"/>
    <w:rsid w:val="0064628A"/>
    <w:rsid w:val="00670ABE"/>
    <w:rsid w:val="00670D2A"/>
    <w:rsid w:val="00683BA0"/>
    <w:rsid w:val="0068481B"/>
    <w:rsid w:val="00696504"/>
    <w:rsid w:val="006B1ACE"/>
    <w:rsid w:val="006C4017"/>
    <w:rsid w:val="006F29F4"/>
    <w:rsid w:val="00774B34"/>
    <w:rsid w:val="00796286"/>
    <w:rsid w:val="007D67C6"/>
    <w:rsid w:val="007E45D4"/>
    <w:rsid w:val="008215B1"/>
    <w:rsid w:val="00824DEF"/>
    <w:rsid w:val="0085136E"/>
    <w:rsid w:val="008730F2"/>
    <w:rsid w:val="008A2025"/>
    <w:rsid w:val="0090649F"/>
    <w:rsid w:val="0090665D"/>
    <w:rsid w:val="00907DE1"/>
    <w:rsid w:val="00925568"/>
    <w:rsid w:val="00934BEC"/>
    <w:rsid w:val="00946DDB"/>
    <w:rsid w:val="009640D9"/>
    <w:rsid w:val="00970F6B"/>
    <w:rsid w:val="009919A5"/>
    <w:rsid w:val="009C357E"/>
    <w:rsid w:val="009F1E02"/>
    <w:rsid w:val="00A0011E"/>
    <w:rsid w:val="00A17C99"/>
    <w:rsid w:val="00A55909"/>
    <w:rsid w:val="00AA3955"/>
    <w:rsid w:val="00AD0E46"/>
    <w:rsid w:val="00B24C31"/>
    <w:rsid w:val="00B3650A"/>
    <w:rsid w:val="00B62066"/>
    <w:rsid w:val="00B84992"/>
    <w:rsid w:val="00BC7EB3"/>
    <w:rsid w:val="00BF2011"/>
    <w:rsid w:val="00BF2961"/>
    <w:rsid w:val="00BF57BC"/>
    <w:rsid w:val="00C13258"/>
    <w:rsid w:val="00C1369A"/>
    <w:rsid w:val="00C13DC9"/>
    <w:rsid w:val="00C274E2"/>
    <w:rsid w:val="00C27BB4"/>
    <w:rsid w:val="00C61E2A"/>
    <w:rsid w:val="00C956EA"/>
    <w:rsid w:val="00CA22F4"/>
    <w:rsid w:val="00CA53F0"/>
    <w:rsid w:val="00CB5143"/>
    <w:rsid w:val="00CF2814"/>
    <w:rsid w:val="00CF4CC7"/>
    <w:rsid w:val="00D05F5D"/>
    <w:rsid w:val="00D07070"/>
    <w:rsid w:val="00D11459"/>
    <w:rsid w:val="00D57203"/>
    <w:rsid w:val="00D876C4"/>
    <w:rsid w:val="00DD1572"/>
    <w:rsid w:val="00DE777F"/>
    <w:rsid w:val="00E06932"/>
    <w:rsid w:val="00E61322"/>
    <w:rsid w:val="00E77C99"/>
    <w:rsid w:val="00E86587"/>
    <w:rsid w:val="00EC1590"/>
    <w:rsid w:val="00EE072D"/>
    <w:rsid w:val="00EF1ED3"/>
    <w:rsid w:val="00F47ADB"/>
    <w:rsid w:val="00F47E92"/>
    <w:rsid w:val="00F54D7E"/>
    <w:rsid w:val="00F61271"/>
    <w:rsid w:val="00F831AE"/>
    <w:rsid w:val="00FA7038"/>
    <w:rsid w:val="00FC5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33756-0CDC-48AA-B0F6-4AE52E3D2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BA0"/>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3328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8AA"/>
    <w:rPr>
      <w:rFonts w:ascii="Segoe UI" w:hAnsi="Segoe UI" w:cs="Segoe UI"/>
      <w:sz w:val="18"/>
      <w:szCs w:val="18"/>
    </w:rPr>
  </w:style>
  <w:style w:type="character" w:styleId="PlaceholderText">
    <w:name w:val="Placeholder Text"/>
    <w:basedOn w:val="DefaultParagraphFont"/>
    <w:uiPriority w:val="99"/>
    <w:semiHidden/>
    <w:rsid w:val="002678A3"/>
    <w:rPr>
      <w:color w:val="808080"/>
    </w:rPr>
  </w:style>
  <w:style w:type="table" w:styleId="TableGrid">
    <w:name w:val="Table Grid"/>
    <w:basedOn w:val="TableNormal"/>
    <w:uiPriority w:val="39"/>
    <w:rsid w:val="005F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1F5E"/>
    <w:rPr>
      <w:color w:val="0563C1" w:themeColor="hyperlink"/>
      <w:u w:val="single"/>
    </w:rPr>
  </w:style>
  <w:style w:type="paragraph" w:styleId="ListParagraph">
    <w:name w:val="List Paragraph"/>
    <w:basedOn w:val="Normal"/>
    <w:uiPriority w:val="34"/>
    <w:qFormat/>
    <w:rsid w:val="00D07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python-dwca-reader.readthedocs.io/en/latest/index.html"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pygbif.readthedocs.io/en/lates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02402740198015"/>
          <c:y val="6.2118718211071067E-2"/>
          <c:w val="0.83724987079317792"/>
          <c:h val="0.82976170351587397"/>
        </c:manualLayout>
      </c:layout>
      <c:scatterChart>
        <c:scatterStyle val="lineMarker"/>
        <c:varyColors val="0"/>
        <c:ser>
          <c:idx val="0"/>
          <c:order val="0"/>
          <c:spPr>
            <a:ln w="19050" cap="rnd">
              <a:solidFill>
                <a:schemeClr val="accent1"/>
              </a:solidFill>
              <a:round/>
            </a:ln>
            <a:effectLst/>
          </c:spPr>
          <c:marker>
            <c:symbol val="none"/>
          </c:marker>
          <c:xVal>
            <c:numRef>
              <c:f>#REF!</c:f>
            </c:numRef>
          </c:xVal>
          <c:yVal>
            <c:numRef>
              <c:f>#REF!</c:f>
              <c:numCache>
                <c:formatCode>General</c:formatCode>
                <c:ptCount val="1"/>
                <c:pt idx="0">
                  <c:v>1</c:v>
                </c:pt>
              </c:numCache>
            </c:numRef>
          </c:yVal>
          <c:smooth val="0"/>
          <c:extLst>
            <c:ext xmlns:c15="http://schemas.microsoft.com/office/drawing/2012/chart" uri="{02D57815-91ED-43cb-92C2-25804820EDAC}">
              <c15:filteredSeriesTitle>
                <c15:tx>
                  <c:strRef>
                    <c:extLst>
                      <c:ext uri="{02D57815-91ED-43cb-92C2-25804820EDAC}">
                        <c15:formulaRef>
                          <c15:sqref>#REF!$B$1</c15:sqref>
                        </c15:formulaRef>
                      </c:ext>
                    </c:extLst>
                    <c:strCache>
                      <c:ptCount val="1"/>
                      <c:pt idx="0">
                        <c:v>#REF!</c:v>
                      </c:pt>
                    </c:strCache>
                  </c:strRef>
                </c15:tx>
              </c15:filteredSeriesTitle>
            </c:ext>
            <c:ext xmlns:c16="http://schemas.microsoft.com/office/drawing/2014/chart" uri="{C3380CC4-5D6E-409C-BE32-E72D297353CC}">
              <c16:uniqueId val="{00000000-1CF1-4D50-8C49-E7C0AD136FE0}"/>
            </c:ext>
          </c:extLst>
        </c:ser>
        <c:dLbls>
          <c:showLegendKey val="0"/>
          <c:showVal val="0"/>
          <c:showCatName val="0"/>
          <c:showSerName val="0"/>
          <c:showPercent val="0"/>
          <c:showBubbleSize val="0"/>
        </c:dLbls>
        <c:axId val="1217112272"/>
        <c:axId val="1217115184"/>
      </c:scatterChart>
      <c:valAx>
        <c:axId val="1217112272"/>
        <c:scaling>
          <c:orientation val="minMax"/>
          <c:max val="1"/>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aseline="0"/>
                  <a:t>Proportion of Habitat in Range (model prevalence)</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7115184"/>
        <c:crosses val="autoZero"/>
        <c:crossBetween val="midCat"/>
      </c:valAx>
      <c:valAx>
        <c:axId val="1217115184"/>
        <c:scaling>
          <c:orientation val="minMax"/>
          <c:max val="1"/>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0" i="0" u="none" strike="noStrike" baseline="0">
                    <a:effectLst/>
                  </a:rPr>
                  <a:t>x̅  Proportion of Habitat in Point Buffers</a:t>
                </a:r>
                <a:endParaRPr lang="en-US" sz="1200" baseline="0"/>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217112272"/>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0.15737</cdr:x>
      <cdr:y>0.18734</cdr:y>
    </cdr:from>
    <cdr:to>
      <cdr:x>0.43629</cdr:x>
      <cdr:y>0.3562</cdr:y>
    </cdr:to>
    <cdr:sp macro="" textlink="">
      <cdr:nvSpPr>
        <cdr:cNvPr id="2" name="TextBox 1"/>
        <cdr:cNvSpPr txBox="1"/>
      </cdr:nvSpPr>
      <cdr:spPr>
        <a:xfrm xmlns:a="http://schemas.openxmlformats.org/drawingml/2006/main">
          <a:off x="776457" y="676293"/>
          <a:ext cx="1376194" cy="6095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Species models 'better than random'</a:t>
          </a:r>
        </a:p>
      </cdr:txBody>
    </cdr:sp>
  </cdr:relSizeAnchor>
  <cdr:relSizeAnchor xmlns:cdr="http://schemas.openxmlformats.org/drawingml/2006/chartDrawing">
    <cdr:from>
      <cdr:x>0.11197</cdr:x>
      <cdr:y>0.09235</cdr:y>
    </cdr:from>
    <cdr:to>
      <cdr:x>0.92278</cdr:x>
      <cdr:y>0.88654</cdr:y>
    </cdr:to>
    <cdr:cxnSp macro="">
      <cdr:nvCxnSpPr>
        <cdr:cNvPr id="4" name="Straight Connector 3"/>
        <cdr:cNvCxnSpPr/>
      </cdr:nvCxnSpPr>
      <cdr:spPr>
        <a:xfrm xmlns:a="http://schemas.openxmlformats.org/drawingml/2006/main" flipV="1">
          <a:off x="552450" y="333375"/>
          <a:ext cx="4000500" cy="2867026"/>
        </a:xfrm>
        <a:prstGeom xmlns:a="http://schemas.openxmlformats.org/drawingml/2006/main" prst="line">
          <a:avLst/>
        </a:prstGeom>
        <a:ln xmlns:a="http://schemas.openxmlformats.org/drawingml/2006/main">
          <a:solidFill>
            <a:schemeClr val="tx1"/>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0.5444</cdr:x>
      <cdr:y>0.60967</cdr:y>
    </cdr:from>
    <cdr:to>
      <cdr:x>0.83398</cdr:x>
      <cdr:y>0.77836</cdr:y>
    </cdr:to>
    <cdr:sp macro="" textlink="">
      <cdr:nvSpPr>
        <cdr:cNvPr id="5" name="TextBox 1"/>
        <cdr:cNvSpPr txBox="1"/>
      </cdr:nvSpPr>
      <cdr:spPr>
        <a:xfrm xmlns:a="http://schemas.openxmlformats.org/drawingml/2006/main">
          <a:off x="2686050" y="2200910"/>
          <a:ext cx="1428750" cy="60896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marL="0" marR="0">
            <a:spcBef>
              <a:spcPts val="0"/>
            </a:spcBef>
            <a:spcAft>
              <a:spcPts val="0"/>
            </a:spcAft>
          </a:pPr>
          <a:r>
            <a:rPr lang="en-US" sz="1100">
              <a:effectLst/>
              <a:latin typeface="Calibri" panose="020F0502020204030204" pitchFamily="34" charset="0"/>
              <a:ea typeface="Times New Roman" panose="02020603050405020304" pitchFamily="18" charset="0"/>
              <a:cs typeface="Times New Roman" panose="02020603050405020304" pitchFamily="18" charset="0"/>
            </a:rPr>
            <a:t>Species models 'worse than random'</a:t>
          </a:r>
          <a:endParaRPr lang="en-US" sz="1200">
            <a:effectLst/>
            <a:latin typeface="Times New Roman" panose="02020603050405020304" pitchFamily="18" charset="0"/>
            <a:ea typeface="Times New Roman" panose="02020603050405020304" pitchFamily="18" charset="0"/>
          </a:endParaRPr>
        </a:p>
      </cdr:txBody>
    </cdr:sp>
  </cdr:relSizeAnchor>
  <cdr:relSizeAnchor xmlns:cdr="http://schemas.openxmlformats.org/drawingml/2006/chartDrawing">
    <cdr:from>
      <cdr:x>0.46306</cdr:x>
      <cdr:y>0.40756</cdr:y>
    </cdr:from>
    <cdr:to>
      <cdr:x>0.63102</cdr:x>
      <cdr:y>0.51451</cdr:y>
    </cdr:to>
    <cdr:sp macro="" textlink="">
      <cdr:nvSpPr>
        <cdr:cNvPr id="6" name="Text Box 2"/>
        <cdr:cNvSpPr txBox="1">
          <a:spLocks xmlns:a="http://schemas.openxmlformats.org/drawingml/2006/main" noChangeArrowheads="1"/>
        </cdr:cNvSpPr>
      </cdr:nvSpPr>
      <cdr:spPr bwMode="auto">
        <a:xfrm xmlns:a="http://schemas.openxmlformats.org/drawingml/2006/main" rot="19614307">
          <a:off x="2284731" y="1471295"/>
          <a:ext cx="828675" cy="386080"/>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Times New Roman" panose="02020603050405020304" pitchFamily="18" charset="0"/>
            </a:rPr>
            <a:t>Random</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16024</TotalTime>
  <Pages>7</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Rubino</dc:creator>
  <cp:keywords/>
  <dc:description/>
  <cp:lastModifiedBy>Matt Rubino</cp:lastModifiedBy>
  <cp:revision>108</cp:revision>
  <dcterms:created xsi:type="dcterms:W3CDTF">2019-11-08T18:55:00Z</dcterms:created>
  <dcterms:modified xsi:type="dcterms:W3CDTF">2019-12-05T16:12:00Z</dcterms:modified>
</cp:coreProperties>
</file>