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widowControl w:val="0"/>
        <w:pBdr>
          <w:top w:space="0" w:sz="0" w:val="nil"/>
          <w:left w:space="0" w:sz="0" w:val="nil"/>
          <w:bottom w:space="0" w:sz="0" w:val="nil"/>
          <w:right w:space="0" w:sz="0" w:val="nil"/>
          <w:between w:space="0" w:sz="0" w:val="nil"/>
        </w:pBdr>
        <w:shd w:fill="auto" w:val="clear"/>
        <w:spacing w:after="120" w:before="240" w:line="240" w:lineRule="auto"/>
        <w:ind w:left="0" w:firstLine="0"/>
        <w:rPr>
          <w:rFonts w:ascii="Nunito" w:cs="Nunito" w:eastAsia="Nunito" w:hAnsi="Nunito"/>
          <w:color w:val="17375e"/>
          <w:sz w:val="20"/>
          <w:szCs w:val="20"/>
          <w:shd w:fill="fff2cc" w:val="clear"/>
        </w:rPr>
      </w:pPr>
      <w:bookmarkStart w:colFirst="0" w:colLast="0" w:name="_20dboc2pout2" w:id="0"/>
      <w:bookmarkEnd w:id="0"/>
      <w:r w:rsidDel="00000000" w:rsidR="00000000" w:rsidRPr="00000000">
        <w:rPr>
          <w:rFonts w:ascii="Nunito" w:cs="Nunito" w:eastAsia="Nunito" w:hAnsi="Nunito"/>
          <w:b w:val="1"/>
          <w:color w:val="17375e"/>
          <w:sz w:val="20"/>
          <w:szCs w:val="20"/>
          <w:highlight w:val="white"/>
          <w:rtl w:val="0"/>
        </w:rPr>
        <w:t xml:space="preserve">Printed Roll Manager Dependencies</w:t>
      </w:r>
      <w:r w:rsidDel="00000000" w:rsidR="00000000" w:rsidRPr="00000000">
        <w:rPr>
          <w:rtl w:val="0"/>
        </w:rPr>
      </w:r>
    </w:p>
    <w:p w:rsidR="00000000" w:rsidDel="00000000" w:rsidP="00000000" w:rsidRDefault="00000000" w:rsidRPr="00000000" w14:paraId="00000002">
      <w:pPr>
        <w:keepNext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hanging="360"/>
        <w:rPr>
          <w:rFonts w:ascii="Nunito" w:cs="Nunito" w:eastAsia="Nunito" w:hAnsi="Nunito"/>
          <w:b w:val="1"/>
          <w:color w:val="17375e"/>
          <w:sz w:val="20"/>
          <w:szCs w:val="20"/>
          <w:highlight w:val="white"/>
        </w:rPr>
      </w:pPr>
      <w:bookmarkStart w:colFirst="0" w:colLast="0" w:name="_4gsk03i6c4mw" w:id="1"/>
      <w:bookmarkEnd w:id="1"/>
      <w:r w:rsidDel="00000000" w:rsidR="00000000" w:rsidRPr="00000000">
        <w:rPr>
          <w:rFonts w:ascii="Nunito" w:cs="Nunito" w:eastAsia="Nunito" w:hAnsi="Nunito"/>
          <w:b w:val="1"/>
          <w:color w:val="17375e"/>
          <w:sz w:val="20"/>
          <w:szCs w:val="20"/>
          <w:highlight w:val="white"/>
          <w:rtl w:val="0"/>
        </w:rPr>
        <w:t xml:space="preserve">Storage Locations are required and can be maintained using the Storage Location Maintenance application which is on your table maintenance menu. For a brief description of Storage Locations see </w:t>
      </w:r>
      <w:hyperlink r:id="rId6">
        <w:r w:rsidDel="00000000" w:rsidR="00000000" w:rsidRPr="00000000">
          <w:rPr>
            <w:rFonts w:ascii="Nunito" w:cs="Nunito" w:eastAsia="Nunito" w:hAnsi="Nunito"/>
            <w:b w:val="1"/>
            <w:color w:val="1155cc"/>
            <w:sz w:val="20"/>
            <w:szCs w:val="20"/>
            <w:highlight w:val="white"/>
            <w:u w:val="single"/>
            <w:rtl w:val="0"/>
          </w:rPr>
          <w:t xml:space="preserve">Defined Codes</w:t>
        </w:r>
      </w:hyperlink>
      <w:r w:rsidDel="00000000" w:rsidR="00000000" w:rsidRPr="00000000">
        <w:rPr>
          <w:rFonts w:ascii="Nunito" w:cs="Nunito" w:eastAsia="Nunito" w:hAnsi="Nunito"/>
          <w:b w:val="1"/>
          <w:color w:val="17375e"/>
          <w:sz w:val="20"/>
          <w:szCs w:val="20"/>
          <w:highlight w:val="white"/>
          <w:rtl w:val="0"/>
        </w:rPr>
        <w:t xml:space="preserve">.</w:t>
      </w:r>
    </w:p>
    <w:p w:rsidR="00000000" w:rsidDel="00000000" w:rsidP="00000000" w:rsidRDefault="00000000" w:rsidRPr="00000000" w14:paraId="00000003">
      <w:pPr>
        <w:keepNext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Nunito" w:cs="Nunito" w:eastAsia="Nunito" w:hAnsi="Nunito"/>
          <w:b w:val="1"/>
          <w:color w:val="17375e"/>
          <w:sz w:val="20"/>
          <w:szCs w:val="20"/>
          <w:highlight w:val="white"/>
        </w:rPr>
      </w:pPr>
      <w:bookmarkStart w:colFirst="0" w:colLast="0" w:name="_ckqafbq0915y" w:id="2"/>
      <w:bookmarkEnd w:id="2"/>
      <w:r w:rsidDel="00000000" w:rsidR="00000000" w:rsidRPr="00000000">
        <w:rPr>
          <w:rFonts w:ascii="Nunito" w:cs="Nunito" w:eastAsia="Nunito" w:hAnsi="Nunito"/>
          <w:b w:val="1"/>
          <w:color w:val="17375e"/>
          <w:sz w:val="20"/>
          <w:szCs w:val="20"/>
          <w:highlight w:val="white"/>
          <w:rtl w:val="0"/>
        </w:rPr>
        <w:t xml:space="preserve">Quality Classifications are required, and while they are provided by Solstice (ACCEPTABLE and OFFQUALITY), the description displayed can be modified to be more meaningful if requested.</w:t>
      </w:r>
    </w:p>
    <w:p w:rsidR="00000000" w:rsidDel="00000000" w:rsidP="00000000" w:rsidRDefault="00000000" w:rsidRPr="00000000" w14:paraId="00000004">
      <w:pPr>
        <w:keepNext w:val="1"/>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720" w:hanging="360"/>
        <w:rPr>
          <w:rFonts w:ascii="Nunito" w:cs="Nunito" w:eastAsia="Nunito" w:hAnsi="Nunito"/>
          <w:b w:val="1"/>
          <w:color w:val="17375e"/>
          <w:sz w:val="20"/>
          <w:szCs w:val="20"/>
          <w:highlight w:val="white"/>
        </w:rPr>
      </w:pPr>
      <w:bookmarkStart w:colFirst="0" w:colLast="0" w:name="_m3edqe6rcowu" w:id="3"/>
      <w:bookmarkEnd w:id="3"/>
      <w:r w:rsidDel="00000000" w:rsidR="00000000" w:rsidRPr="00000000">
        <w:rPr>
          <w:rFonts w:ascii="Nunito" w:cs="Nunito" w:eastAsia="Nunito" w:hAnsi="Nunito"/>
          <w:b w:val="1"/>
          <w:color w:val="17375e"/>
          <w:sz w:val="20"/>
          <w:szCs w:val="20"/>
          <w:highlight w:val="white"/>
          <w:rtl w:val="0"/>
        </w:rPr>
        <w:t xml:space="preserve">Quality Class Reasons are required when a master roll is given a classification of ‘OFFQUALITY’ and can be maintained using the Quality Class Reasons Maintenance application which is on your table maintenance menu. For a brief description of Quality Class Reasons, see  </w:t>
      </w:r>
      <w:hyperlink r:id="rId7">
        <w:r w:rsidDel="00000000" w:rsidR="00000000" w:rsidRPr="00000000">
          <w:rPr>
            <w:rFonts w:ascii="Nunito" w:cs="Nunito" w:eastAsia="Nunito" w:hAnsi="Nunito"/>
            <w:b w:val="1"/>
            <w:color w:val="1155cc"/>
            <w:sz w:val="20"/>
            <w:szCs w:val="20"/>
            <w:highlight w:val="white"/>
            <w:u w:val="single"/>
            <w:rtl w:val="0"/>
          </w:rPr>
          <w:t xml:space="preserve">Defined Codes</w:t>
        </w:r>
      </w:hyperlink>
      <w:r w:rsidDel="00000000" w:rsidR="00000000" w:rsidRPr="00000000">
        <w:rPr>
          <w:rFonts w:ascii="Nunito" w:cs="Nunito" w:eastAsia="Nunito" w:hAnsi="Nunito"/>
          <w:b w:val="1"/>
          <w:color w:val="17375e"/>
          <w:sz w:val="20"/>
          <w:szCs w:val="20"/>
          <w:highlight w:val="white"/>
          <w:rtl w:val="0"/>
        </w:rPr>
        <w:t xml:space="preserve">.</w:t>
      </w:r>
      <w:r w:rsidDel="00000000" w:rsidR="00000000" w:rsidRPr="00000000">
        <w:rPr>
          <w:rFonts w:ascii="Nunito" w:cs="Nunito" w:eastAsia="Nunito" w:hAnsi="Nunito"/>
          <w:b w:val="1"/>
          <w:color w:val="17375e"/>
          <w:sz w:val="20"/>
          <w:szCs w:val="20"/>
          <w:shd w:fill="f3f3f3" w:val="clear"/>
          <w:rtl w:val="0"/>
        </w:rPr>
        <w:tab/>
      </w:r>
      <w:r w:rsidDel="00000000" w:rsidR="00000000" w:rsidRPr="00000000">
        <w:rPr>
          <w:rFonts w:ascii="Nunito" w:cs="Nunito" w:eastAsia="Nunito" w:hAnsi="Nunito"/>
          <w:b w:val="1"/>
          <w:color w:val="17375e"/>
          <w:sz w:val="20"/>
          <w:szCs w:val="20"/>
          <w:shd w:fill="fce5cd" w:val="clear"/>
          <w:rtl w:val="0"/>
        </w:rPr>
        <w:tab/>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p w:rsidR="00000000" w:rsidDel="00000000" w:rsidP="00000000" w:rsidRDefault="00000000" w:rsidRPr="00000000" w14:paraId="00000006">
      <w:pPr>
        <w:pStyle w:val="Heading2"/>
        <w:keepLines w:val="0"/>
        <w:pBdr>
          <w:top w:space="0" w:sz="0" w:val="nil"/>
          <w:left w:space="0" w:sz="0" w:val="nil"/>
          <w:bottom w:space="0" w:sz="0" w:val="nil"/>
          <w:right w:space="0" w:sz="0" w:val="nil"/>
          <w:between w:space="0" w:sz="0" w:val="nil"/>
        </w:pBdr>
        <w:shd w:fill="auto" w:val="clear"/>
        <w:spacing w:after="120" w:before="240" w:lineRule="auto"/>
        <w:rPr>
          <w:color w:val="17375e"/>
          <w:sz w:val="36"/>
          <w:szCs w:val="36"/>
        </w:rPr>
      </w:pPr>
      <w:bookmarkStart w:colFirst="0" w:colLast="0" w:name="_xoq6vy8n0g7v" w:id="4"/>
      <w:bookmarkEnd w:id="4"/>
      <w:r w:rsidDel="00000000" w:rsidR="00000000" w:rsidRPr="00000000">
        <w:rPr>
          <w:color w:val="17375e"/>
          <w:sz w:val="36"/>
          <w:szCs w:val="36"/>
          <w:rtl w:val="0"/>
        </w:rPr>
        <w:t xml:space="preserve">Printed Roll Manager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Fonts w:ascii="Arial" w:cs="Arial" w:eastAsia="Arial" w:hAnsi="Arial"/>
          <w:rtl w:val="0"/>
        </w:rPr>
        <w:t xml:space="preserve">Printed Roll Manager allows supervisors to create new printed rolls that are not in inventory, possibly because the were created before PlantVista was in place. It can also be used to adjust printed rolls that were created incorrectly. It should be used for exception cases only and be restricted to supervisors. The location, quality classifications and length of the rolls can be adjusted. The </w:t>
      </w:r>
      <w:r w:rsidDel="00000000" w:rsidR="00000000" w:rsidRPr="00000000">
        <w:rPr>
          <w:rFonts w:ascii="Arial" w:cs="Arial" w:eastAsia="Arial" w:hAnsi="Arial"/>
          <w:b w:val="1"/>
          <w:color w:val="b45f06"/>
          <w:rtl w:val="0"/>
        </w:rPr>
        <w:t xml:space="preserve">material part number (erp_part)</w:t>
      </w:r>
      <w:r w:rsidDel="00000000" w:rsidR="00000000" w:rsidRPr="00000000">
        <w:rPr>
          <w:rFonts w:ascii="Arial" w:cs="Arial" w:eastAsia="Arial" w:hAnsi="Arial"/>
          <w:color w:val="990000"/>
          <w:rtl w:val="0"/>
        </w:rPr>
        <w:t xml:space="preserve"> </w:t>
      </w:r>
      <w:r w:rsidDel="00000000" w:rsidR="00000000" w:rsidRPr="00000000">
        <w:rPr>
          <w:rFonts w:ascii="Arial" w:cs="Arial" w:eastAsia="Arial" w:hAnsi="Arial"/>
          <w:rtl w:val="0"/>
        </w:rPr>
        <w:t xml:space="preserve">as exists in AX can also be updated</w:t>
      </w:r>
      <w:r w:rsidDel="00000000" w:rsidR="00000000" w:rsidRPr="00000000">
        <w:rPr>
          <w:rFonts w:ascii="Arial" w:cs="Arial" w:eastAsia="Arial" w:hAnsi="Arial"/>
          <w:rtl w:val="0"/>
        </w:rPr>
        <w:t xml:space="preserve">. Printed rolls can consumed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rPr>
          <w:rFonts w:ascii="Arial" w:cs="Arial" w:eastAsia="Arial" w:hAnsi="Arial"/>
          <w:color w:val="1155cc"/>
        </w:rPr>
      </w:pPr>
      <w:r w:rsidDel="00000000" w:rsidR="00000000" w:rsidRPr="00000000">
        <w:rPr>
          <w:rFonts w:ascii="Arial" w:cs="Arial" w:eastAsia="Arial" w:hAnsi="Arial"/>
          <w:color w:val="1155cc"/>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Rule="auto"/>
        <w:rPr>
          <w:rFonts w:ascii="Arial" w:cs="Arial" w:eastAsia="Arial" w:hAnsi="Arial"/>
          <w:color w:val="1155cc"/>
        </w:rPr>
      </w:pPr>
      <w:r w:rsidDel="00000000" w:rsidR="00000000" w:rsidRPr="00000000">
        <w:rPr>
          <w:rFonts w:ascii="Arial" w:cs="Arial" w:eastAsia="Arial" w:hAnsi="Arial"/>
          <w:color w:val="1155cc"/>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Fonts w:ascii="Arial" w:cs="Arial" w:eastAsia="Arial" w:hAnsi="Arial"/>
          <w:rtl w:val="0"/>
        </w:rPr>
        <w:t xml:space="preserve">To </w:t>
      </w:r>
      <w:r w:rsidDel="00000000" w:rsidR="00000000" w:rsidRPr="00000000">
        <w:rPr>
          <w:rFonts w:ascii="Arial" w:cs="Arial" w:eastAsia="Arial" w:hAnsi="Arial"/>
          <w:b w:val="1"/>
          <w:rtl w:val="0"/>
        </w:rPr>
        <w:t xml:space="preserve">filter the list</w:t>
      </w:r>
      <w:r w:rsidDel="00000000" w:rsidR="00000000" w:rsidRPr="00000000">
        <w:rPr>
          <w:rFonts w:ascii="Arial" w:cs="Arial" w:eastAsia="Arial" w:hAnsi="Arial"/>
          <w:rtl w:val="0"/>
        </w:rPr>
        <w:t xml:space="preserve">, choose selection criteria from the Search area and press ‘Filter’. The number of items in the list will be limited to those that match the entered criteria.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rPr>
          <w:rFonts w:ascii="Arial" w:cs="Arial" w:eastAsia="Arial" w:hAnsi="Arial"/>
          <w:color w:val="1155cc"/>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b w:val="1"/>
          <w:rtl w:val="0"/>
        </w:rPr>
        <w:t xml:space="preserve"> edit an existing Material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SKU Unit</w:t>
      </w:r>
      <w:r w:rsidDel="00000000" w:rsidR="00000000" w:rsidRPr="00000000">
        <w:rPr>
          <w:rFonts w:ascii="Arial" w:cs="Arial" w:eastAsia="Arial" w:hAnsi="Arial"/>
          <w:rtl w:val="0"/>
        </w:rPr>
        <w:t xml:space="preserve">, press the ‘Select’ button next to the desired printed roll, make the adjustments and press ‘Save’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b w:val="1"/>
          <w:rtl w:val="0"/>
        </w:rPr>
        <w:t xml:space="preserve"> scrap a printed roll</w:t>
      </w:r>
      <w:r w:rsidDel="00000000" w:rsidR="00000000" w:rsidRPr="00000000">
        <w:rPr>
          <w:rFonts w:ascii="Arial" w:cs="Arial" w:eastAsia="Arial" w:hAnsi="Arial"/>
          <w:rtl w:val="0"/>
        </w:rPr>
        <w:t xml:space="preserve">, press the ‘Scrap’ button next to the desired material. The roll information will appear in the ‘Scrap’ section at the top right. The operator can press the ‘Scrap All’ button, or to only scrap a portion of the remaining roll, the operator can adjust the total quantity displayed in ‘amount’ field to be the remaining meters, and press ‘Scrap Partial’ to partially consume the item. Leaving the original amount in the field will cause the entire roll to be consumed.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120" w:lineRule="auto"/>
        <w:rPr>
          <w:rFonts w:ascii="Arial" w:cs="Arial" w:eastAsia="Arial" w:hAnsi="Arial"/>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b w:val="1"/>
          <w:rtl w:val="0"/>
        </w:rPr>
        <w:t xml:space="preserve"> reprint a label for a printed roll</w:t>
      </w:r>
      <w:r w:rsidDel="00000000" w:rsidR="00000000" w:rsidRPr="00000000">
        <w:rPr>
          <w:rFonts w:ascii="Arial" w:cs="Arial" w:eastAsia="Arial" w:hAnsi="Arial"/>
          <w:rtl w:val="0"/>
        </w:rPr>
        <w:t xml:space="preserve">, press the ‘Reprint’ button.</w:t>
      </w: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after="100" w:before="100" w:lineRule="auto"/>
        <w:rPr>
          <w:rFonts w:ascii="Arial" w:cs="Arial" w:eastAsia="Arial" w:hAnsi="Arial"/>
          <w:color w:val="ff0000"/>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To</w:t>
      </w:r>
      <w:r w:rsidDel="00000000" w:rsidR="00000000" w:rsidRPr="00000000">
        <w:rPr>
          <w:rFonts w:ascii="Arial" w:cs="Arial" w:eastAsia="Arial" w:hAnsi="Arial"/>
          <w:b w:val="1"/>
          <w:rtl w:val="0"/>
        </w:rPr>
        <w:t xml:space="preserve"> create a new roll, </w:t>
      </w:r>
      <w:r w:rsidDel="00000000" w:rsidR="00000000" w:rsidRPr="00000000">
        <w:rPr>
          <w:rFonts w:ascii="Arial" w:cs="Arial" w:eastAsia="Arial" w:hAnsi="Arial"/>
          <w:rtl w:val="0"/>
        </w:rPr>
        <w:t xml:space="preserve">press the ‘New Roll’ button, fill in the information and press ‘Save’.</w:t>
      </w:r>
      <w:r w:rsidDel="00000000" w:rsidR="00000000" w:rsidRPr="00000000">
        <w:rPr>
          <w:rFonts w:ascii="Arial" w:cs="Arial" w:eastAsia="Arial" w:hAnsi="Arial"/>
          <w:color w:val="ff0000"/>
          <w:rtl w:val="0"/>
        </w:rPr>
        <w:br w:type="textWrapping"/>
        <w:t xml:space="preserve"> </w:t>
        <w:br w:type="textWrapping"/>
        <w:br w:type="textWrapping"/>
      </w:r>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hornda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right"/>
      <w:rPr/>
    </w:pPr>
    <w:r w:rsidDel="00000000" w:rsidR="00000000" w:rsidRPr="00000000">
      <w:rPr>
        <w:rFonts w:ascii="Cambria" w:cs="Cambria" w:eastAsia="Cambria" w:hAnsi="Cambria"/>
        <w:b w:val="0"/>
        <w:color w:val="000000"/>
        <w:sz w:val="28"/>
        <w:szCs w:val="28"/>
        <w:rtl w:val="0"/>
      </w:rPr>
      <w:t xml:space="preserve">pg.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Thorndale" w:cs="Thorndale" w:eastAsia="Thorndale" w:hAnsi="Thorndale"/>
        <w:b w:val="0"/>
        <w:color w:val="ffffff"/>
        <w:sz w:val="4"/>
        <w:szCs w:val="4"/>
        <w:highlight w:val="black"/>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Thorndale" w:cs="Thorndale" w:eastAsia="Thorndale" w:hAnsi="Thorndale"/>
        <w:b w:val="0"/>
        <w:color w:val="ffffff"/>
        <w:sz w:val="24"/>
        <w:szCs w:val="24"/>
        <w:highlight w:val="black"/>
        <w:rtl w:val="0"/>
      </w:rPr>
      <w:t xml:space="preserve"> </w:t>
    </w:r>
    <w:r w:rsidDel="00000000" w:rsidR="00000000" w:rsidRPr="00000000">
      <w:rPr>
        <w:rFonts w:ascii="Thorndale" w:cs="Thorndale" w:eastAsia="Thorndale" w:hAnsi="Thorndale"/>
        <w:b w:val="0"/>
        <w:color w:val="ffffff"/>
        <w:sz w:val="24"/>
        <w:szCs w:val="24"/>
        <w:highlight w:val="black"/>
      </w:rPr>
      <w:drawing>
        <wp:inline distB="0" distT="0" distL="0" distR="0">
          <wp:extent cx="1124433" cy="326947"/>
          <wp:effectExtent b="0" l="0" r="0" t="0"/>
          <wp:docPr descr="C:\Users\janey\Documents\My Dropbox\Solstice\images\logo_small_opaque.png" id="2" name="image2.png"/>
          <a:graphic>
            <a:graphicData uri="http://schemas.openxmlformats.org/drawingml/2006/picture">
              <pic:pic>
                <pic:nvPicPr>
                  <pic:cNvPr descr="C:\Users\janey\Documents\My Dropbox\Solstice\images\logo_small_opaque.png" id="0" name="image2.png"/>
                  <pic:cNvPicPr preferRelativeResize="0"/>
                </pic:nvPicPr>
                <pic:blipFill>
                  <a:blip r:embed="rId1"/>
                  <a:srcRect b="0" l="0" r="0" t="0"/>
                  <a:stretch>
                    <a:fillRect/>
                  </a:stretch>
                </pic:blipFill>
                <pic:spPr>
                  <a:xfrm>
                    <a:off x="0" y="0"/>
                    <a:ext cx="1124433" cy="326947"/>
                  </a:xfrm>
                  <a:prstGeom prst="rect"/>
                  <a:ln/>
                </pic:spPr>
              </pic:pic>
            </a:graphicData>
          </a:graphic>
        </wp:inline>
      </w:drawing>
    </w:r>
    <w:r w:rsidDel="00000000" w:rsidR="00000000" w:rsidRPr="00000000">
      <w:rPr>
        <w:rFonts w:ascii="Thorndale" w:cs="Thorndale" w:eastAsia="Thorndale" w:hAnsi="Thorndale"/>
        <w:b w:val="0"/>
        <w:color w:val="ffffff"/>
        <w:sz w:val="24"/>
        <w:szCs w:val="24"/>
        <w:highlight w:val="black"/>
        <w:rtl w:val="0"/>
      </w:rPr>
      <w:t xml:space="preserve">  </w:t>
      <w:tab/>
    </w:r>
    <w:r w:rsidDel="00000000" w:rsidR="00000000" w:rsidRPr="00000000">
      <w:rPr>
        <w:rFonts w:ascii="Thorndale" w:cs="Thorndale" w:eastAsia="Thorndale" w:hAnsi="Thorndale"/>
        <w:b w:val="0"/>
        <w:color w:val="ffffff"/>
        <w:sz w:val="16"/>
        <w:szCs w:val="16"/>
        <w:highlight w:val="black"/>
        <w:rtl w:val="0"/>
      </w:rPr>
      <w:t xml:space="preserve">12105 Oaklawn Park Ct, Louisville KY 40299  502-240-0554  Fax 240-0982</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horndale" w:cs="Thorndale" w:eastAsia="Thorndale" w:hAnsi="Thorndale"/>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widowControl w:val="0"/>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widowControl w:val="0"/>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x0TdtVWv93G_EOrGfDpOqyF17ZjeZcbKcExGnHjMw3o" TargetMode="External"/><Relationship Id="rId7" Type="http://schemas.openxmlformats.org/officeDocument/2006/relationships/hyperlink" Target="https://docs.google.com/document/d/1x0TdtVWv93G_EOrGfDpOqyF17ZjeZcbKcExGnHjMw3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