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color w:val="888888"/>
          <w:sz w:val="20"/>
        </w:rPr>
        <w:t>FOLIO — Phase 1</w:t>
      </w:r>
    </w:p>
    <w:p>
      <w:pPr>
        <w:spacing w:after="80"/>
        <w:jc w:val="center"/>
      </w:pPr>
      <w:r>
        <w:rPr>
          <w:rFonts w:ascii="Calibri" w:hAnsi="Calibri"/>
          <w:b/>
          <w:color w:val="1F497D"/>
          <w:sz w:val="44"/>
        </w:rPr>
        <w:t>Day 2: Data Source Architecture</w:t>
      </w:r>
    </w:p>
    <w:p>
      <w:pPr>
        <w:spacing w:after="320"/>
        <w:jc w:val="center"/>
      </w:pPr>
      <w:r>
        <w:rPr>
          <w:rFonts w:ascii="Calibri" w:hAnsi="Calibri"/>
          <w:color w:val="666666"/>
          <w:sz w:val="20"/>
        </w:rPr>
        <w:t>Completed: May 5, 2026</w:t>
      </w:r>
    </w:p>
    <w:p>
      <w:pPr>
        <w:shd w:val="clear" w:color="auto" w:fill="EEF3FA"/>
        <w:spacing w:before="80" w:after="320"/>
        <w:ind w:left="288" w:right="288"/>
      </w:pPr>
      <w:r>
        <w:rPr>
          <w:rFonts w:ascii="Calibri" w:hAnsi="Calibri"/>
          <w:i/>
          <w:sz w:val="20"/>
        </w:rPr>
        <w:t>Summary: This document covers the Day 2 deliverable — the data source abstraction layer for Folio's Phase 1 multi-user build. It defines a standard provider interface, implements three adapters (Torvik, ESPN, Sports Reference), and creates a router that delegates to the correct source based on Supabase settings. All adapter tests pass. The seeding script is ready to run once Supabase credentials are configured.</w:t>
      </w:r>
    </w:p>
    <w:p/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1. Overview</w:t>
      </w:r>
    </w:p>
    <w:p>
      <w:pPr>
        <w:spacing w:before="0" w:after="80"/>
      </w:pPr>
      <w:r>
        <w:rPr>
          <w:rFonts w:ascii="Calibri" w:hAnsi="Calibri"/>
          <w:sz w:val="22"/>
        </w:rPr>
        <w:t>Day 2 establishes the data provider abstraction layer — a standard interface that the rest of the app uses to fetch team ratings, schedules, and game results. The app never calls an external source directly; it always goes through dataProvider.js, which reads the active configuration from the Supabase settings table and delegates to the right adapter.</w:t>
      </w:r>
    </w:p>
    <w:p>
      <w:pPr>
        <w:spacing w:before="0" w:after="240"/>
      </w:pPr>
      <w:r>
        <w:rPr>
          <w:rFonts w:ascii="Calibri" w:hAnsi="Calibri"/>
          <w:sz w:val="22"/>
        </w:rPr>
        <w:t>This design means switching data providers (e.g. from Sports Reference to ESPN for schedules) is an admin settings change, not a code change.</w:t>
      </w:r>
    </w:p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2. Files Created</w:t>
      </w:r>
    </w:p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frontend/src/lib/supabase.js</w:t>
      </w:r>
    </w:p>
    <w:p>
      <w:pPr>
        <w:spacing w:before="0" w:after="80"/>
      </w:pPr>
      <w:r>
        <w:rPr>
          <w:rFonts w:ascii="Calibri" w:hAnsi="Calibri"/>
          <w:sz w:val="22"/>
        </w:rPr>
        <w:t>Initializes the Supabase client using Vite environment variables. Uses the public anon key — safe for frontend use. The service key is never used here; it lives only in server-side scripts and Edge Functions.</w:t>
      </w:r>
    </w:p>
    <w:p>
      <w:pPr>
        <w:shd w:val="clear" w:color="auto" w:fill="F0F2F4"/>
        <w:spacing w:before="20" w:after="20"/>
        <w:ind w:left="360"/>
      </w:pPr>
      <w:r>
        <w:rPr>
          <w:rFonts w:ascii="Courier New" w:hAnsi="Courier New"/>
          <w:color w:val="24292E"/>
          <w:sz w:val="18"/>
        </w:rPr>
        <w:t>VITE_SUPABASE_URL=https://xxxx.supabase.co</w:t>
      </w:r>
    </w:p>
    <w:p>
      <w:pPr>
        <w:shd w:val="clear" w:color="auto" w:fill="F0F2F4"/>
        <w:spacing w:before="20" w:after="20"/>
        <w:ind w:left="360"/>
      </w:pPr>
      <w:r>
        <w:rPr>
          <w:rFonts w:ascii="Courier New" w:hAnsi="Courier New"/>
          <w:color w:val="24292E"/>
          <w:sz w:val="18"/>
        </w:rPr>
        <w:t>VITE_SUPABASE_ANON_KEY=your-anon-key</w:t>
      </w:r>
    </w:p>
    <w:p>
      <w:pPr>
        <w:spacing w:before="0" w:after="200"/>
      </w:pPr>
      <w:r>
        <w:rPr>
          <w:rFonts w:ascii="Calibri" w:hAnsi="Calibri"/>
          <w:sz w:val="22"/>
        </w:rPr>
        <w:t>Copy frontend/.env.local.template to frontend/.env.local and fill in these values before running the app locally.</w:t>
      </w:r>
    </w:p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frontend/src/lib/providers/torvik.js</w:t>
      </w:r>
    </w:p>
    <w:p>
      <w:pPr>
        <w:spacing w:before="0" w:after="80"/>
      </w:pPr>
      <w:r>
        <w:rPr>
          <w:rFonts w:ascii="Calibri" w:hAnsi="Calibri"/>
          <w:sz w:val="22"/>
        </w:rPr>
        <w:t>Primary efficiency rating source. Fetches T-Rank data from Bart Torvik's publicly available JSON files, which update constantly during the season.</w:t>
      </w:r>
    </w:p>
    <w:p>
      <w:pPr>
        <w:shd w:val="clear" w:color="auto" w:fill="F0F2F4"/>
        <w:spacing w:before="20" w:after="20"/>
        <w:ind w:left="360"/>
      </w:pPr>
      <w:r>
        <w:rPr>
          <w:rFonts w:ascii="Courier New" w:hAnsi="Courier New"/>
          <w:color w:val="24292E"/>
          <w:sz w:val="18"/>
        </w:rPr>
        <w:t>http://barttorvik.com/YYYY_team_results.json</w:t>
      </w:r>
    </w:p>
    <w:p>
      <w:pPr>
        <w:spacing w:before="0" w:after="80"/>
      </w:pPr>
      <w:r>
        <w:rPr>
          <w:rFonts w:ascii="Calibri" w:hAnsi="Calibri"/>
          <w:sz w:val="22"/>
        </w:rPr>
        <w:t>Key implementation notes: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adj_em (efficiency_rating) is computed as adj_o minus adj_d — there is no direct column in the response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Negative efficiency ratings are valid for lower-tier D-I teams and are stored as-is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calcShares() and share_price computation mirror the existing App.jsx logic exactly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 xml:space="preserve">Important: </w:t>
      </w:r>
      <w:r>
        <w:rPr>
          <w:rFonts w:ascii="Calibri" w:hAnsi="Calibri"/>
          <w:sz w:val="22"/>
        </w:rPr>
        <w:t>Bot protection on the site blocks plain fetch() — the JSON file endpoint is exempt and works directly</w:t>
      </w:r>
    </w:p>
    <w:p>
      <w:pPr>
        <w:spacing w:before="0" w:after="200"/>
      </w:pPr>
      <w:r>
        <w:rPr>
          <w:rFonts w:ascii="Calibri" w:hAnsi="Calibri"/>
          <w:sz w:val="22"/>
        </w:rPr>
        <w:t>Exports: fetchTeams(year), fetchTeam(name, year), parseTeams(rawArray)</w:t>
      </w:r>
    </w:p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frontend/src/lib/providers/espn.js</w:t>
      </w:r>
    </w:p>
    <w:p>
      <w:pPr>
        <w:spacing w:before="0" w:after="80"/>
      </w:pPr>
      <w:r>
        <w:rPr>
          <w:rFonts w:ascii="Calibri" w:hAnsi="Calibri"/>
          <w:sz w:val="22"/>
        </w:rPr>
        <w:t>Fallback source for schedules and game results. Uses ESPN's unofficial public API — no API key required, CORS-friendly, works from both browser and server-side.</w:t>
      </w:r>
    </w:p>
    <w:p>
      <w:pPr>
        <w:shd w:val="clear" w:color="auto" w:fill="F0F2F4"/>
        <w:spacing w:before="20" w:after="20"/>
        <w:ind w:left="360"/>
      </w:pPr>
      <w:r>
        <w:rPr>
          <w:rFonts w:ascii="Courier New" w:hAnsi="Courier New"/>
          <w:color w:val="24292E"/>
          <w:sz w:val="18"/>
        </w:rPr>
        <w:t>https://site.api.espn.com/apis/site/v2/sports/basketball/mens-college-basketball/...</w:t>
      </w:r>
    </w:p>
    <w:p>
      <w:pPr>
        <w:spacing w:before="0" w:after="80"/>
      </w:pPr>
      <w:r>
        <w:rPr>
          <w:rFonts w:ascii="Calibri" w:hAnsi="Calibri"/>
          <w:sz w:val="22"/>
        </w:rPr>
        <w:t>Key implementation notes: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Team lookup is dynamic — searches ESPN's /teams endpoint by name, no hardcoded ID map required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ESPN returns scores as objects ({ value, displayValue }) not plain numbers — extractScore() handles both formats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Does not provide efficiency ratings — use Torvik for that</w:t>
      </w:r>
    </w:p>
    <w:p>
      <w:pPr>
        <w:spacing w:before="0" w:after="200"/>
      </w:pPr>
      <w:r>
        <w:rPr>
          <w:rFonts w:ascii="Calibri" w:hAnsi="Calibri"/>
          <w:sz w:val="22"/>
        </w:rPr>
        <w:t>Exports: fetchSchedule(teamName, year), fetchGameResults(teamName, year)</w:t>
      </w:r>
    </w:p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frontend/src/lib/providers/sportsref.js</w:t>
      </w:r>
    </w:p>
    <w:p>
      <w:pPr>
        <w:spacing w:before="0" w:after="80"/>
      </w:pPr>
      <w:r>
        <w:rPr>
          <w:rFonts w:ascii="Calibri" w:hAnsi="Calibri"/>
          <w:sz w:val="22"/>
        </w:rPr>
        <w:t>Primary source for schedules and game results. Scrapes Basketball Reference schedule pages. Server-side only — requires the cheerio package for HTML parsing.</w:t>
      </w:r>
    </w:p>
    <w:p>
      <w:pPr>
        <w:shd w:val="clear" w:color="auto" w:fill="FFF8E8"/>
        <w:spacing w:before="80" w:after="160"/>
        <w:ind w:left="288"/>
      </w:pPr>
      <w:r>
        <w:rPr>
          <w:rFonts w:ascii="Calibri" w:hAnsi="Calibri"/>
          <w:b/>
          <w:color w:val="C05000"/>
          <w:sz w:val="20"/>
        </w:rPr>
        <w:t xml:space="preserve">Note: </w:t>
      </w:r>
      <w:r>
        <w:rPr>
          <w:rFonts w:ascii="Calibri" w:hAnsi="Calibri"/>
          <w:i/>
          <w:sz w:val="20"/>
        </w:rPr>
        <w:t>Sports Reference has no public JSON API. This adapter must be run from Node.js or a Supabase Edge Function, not from the browser.</w:t>
      </w:r>
    </w:p>
    <w:p>
      <w:pPr>
        <w:spacing w:before="0" w:after="200"/>
      </w:pPr>
      <w:r>
        <w:rPr>
          <w:rFonts w:ascii="Calibri" w:hAnsi="Calibri"/>
          <w:sz w:val="22"/>
        </w:rPr>
        <w:t>Includes a TEAM_SLUG_MAP for teams whose URL slugs don't match their display names (e.g. UConn → connecticut, Ole Miss → mississippi). Extend this map as new teams are encountered.</w:t>
      </w:r>
    </w:p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frontend/src/lib/dataProvider.js</w:t>
      </w:r>
    </w:p>
    <w:p>
      <w:pPr>
        <w:spacing w:before="0" w:after="80"/>
      </w:pPr>
      <w:r>
        <w:rPr>
          <w:rFonts w:ascii="Calibri" w:hAnsi="Calibri"/>
          <w:sz w:val="22"/>
        </w:rPr>
        <w:t>The router. Reads the efficiency_source, schedule_source, and results_source keys from the Supabase settings table and dynamically imports the correct adapter. Includes automatic fallback: if the primary schedule source fails, it retries with the other.</w:t>
      </w:r>
    </w:p>
    <w:p>
      <w:pPr>
        <w:spacing w:before="0" w:after="200"/>
      </w:pPr>
      <w:r>
        <w:rPr>
          <w:rFonts w:ascii="Calibri" w:hAnsi="Calibri"/>
          <w:sz w:val="22"/>
        </w:rPr>
        <w:t>The settings cache is held for the page session lifetime. Call clearSettingsCache() if an admin changes a provider setting and you need the change to take effect immediately.</w:t>
      </w:r>
    </w:p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scripts/seed-teams.js</w:t>
      </w:r>
    </w:p>
    <w:p>
      <w:pPr>
        <w:spacing w:before="0" w:after="80"/>
      </w:pPr>
      <w:r>
        <w:rPr>
          <w:rFonts w:ascii="Calibri" w:hAnsi="Calibri"/>
          <w:sz w:val="22"/>
        </w:rPr>
        <w:t>Standalone Node.js script that fetches current T-Rank ratings from Torvik and upserts them into the Supabase teams table. Uses the service key (bypasses RLS). Processes in batches of 50 rows. Safe to re-run — uses upsert on (name, season).</w:t>
      </w:r>
    </w:p>
    <w:p>
      <w:pPr>
        <w:shd w:val="clear" w:color="auto" w:fill="F0F2F4"/>
        <w:spacing w:before="20" w:after="20"/>
        <w:ind w:left="360"/>
      </w:pPr>
      <w:r>
        <w:rPr>
          <w:rFonts w:ascii="Courier New" w:hAnsi="Courier New"/>
          <w:color w:val="24292E"/>
          <w:sz w:val="18"/>
        </w:rPr>
        <w:t>SUPABASE_URL=https://xxxx.supabase.co \</w:t>
      </w:r>
    </w:p>
    <w:p>
      <w:pPr>
        <w:shd w:val="clear" w:color="auto" w:fill="F0F2F4"/>
        <w:spacing w:before="20" w:after="20"/>
        <w:ind w:left="360"/>
      </w:pPr>
      <w:r>
        <w:rPr>
          <w:rFonts w:ascii="Courier New" w:hAnsi="Courier New"/>
          <w:color w:val="24292E"/>
          <w:sz w:val="18"/>
        </w:rPr>
        <w:t>SUPABASE_SERVICE_KEY=your-key \</w:t>
      </w:r>
    </w:p>
    <w:p>
      <w:pPr>
        <w:shd w:val="clear" w:color="auto" w:fill="F0F2F4"/>
        <w:spacing w:before="20" w:after="20"/>
        <w:ind w:left="360"/>
      </w:pPr>
      <w:r>
        <w:rPr>
          <w:rFonts w:ascii="Courier New" w:hAnsi="Courier New"/>
          <w:color w:val="24292E"/>
          <w:sz w:val="18"/>
        </w:rPr>
        <w:t>node scripts/seed-teams.js</w:t>
      </w:r>
    </w:p>
    <w:p>
      <w:pPr>
        <w:spacing w:before="0" w:after="80"/>
      </w:pPr>
      <w:r>
        <w:rPr>
          <w:rFonts w:ascii="Calibri" w:hAnsi="Calibri"/>
          <w:sz w:val="22"/>
        </w:rPr>
      </w:r>
    </w:p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scripts/test-adapters.js</w:t>
      </w:r>
    </w:p>
    <w:p>
      <w:pPr>
        <w:spacing w:before="0" w:after="240"/>
      </w:pPr>
      <w:r>
        <w:rPr>
          <w:rFonts w:ascii="Calibri" w:hAnsi="Calibri"/>
          <w:sz w:val="22"/>
        </w:rPr>
        <w:t>Smoke test suite covering all adapter functionality against live APIs. Run with: node scripts/test-adapters.js</w:t>
      </w:r>
    </w:p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3. Provider Interface</w:t>
      </w:r>
    </w:p>
    <w:p>
      <w:pPr>
        <w:spacing w:before="0" w:after="80"/>
      </w:pPr>
      <w:r>
        <w:rPr>
          <w:rFonts w:ascii="Calibri" w:hAnsi="Calibri"/>
          <w:sz w:val="22"/>
        </w:rPr>
        <w:t>Every adapter implements the same function signatures. The rest of the app calls dataProvider.js — never an adapter directly.</w:t>
      </w:r>
    </w:p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Team shape</w:t>
      </w:r>
    </w:p>
    <w:p>
      <w:pPr>
        <w:shd w:val="clear" w:color="auto" w:fill="F0F2F4"/>
        <w:spacing w:before="20" w:after="20"/>
        <w:ind w:left="360"/>
      </w:pPr>
      <w:r>
        <w:rPr>
          <w:rFonts w:ascii="Courier New" w:hAnsi="Courier New"/>
          <w:color w:val="24292E"/>
          <w:sz w:val="18"/>
        </w:rPr>
        <w:t>name              — string, team name as used in the app</w:t>
      </w:r>
    </w:p>
    <w:p>
      <w:pPr>
        <w:shd w:val="clear" w:color="auto" w:fill="F0F2F4"/>
        <w:spacing w:before="20" w:after="20"/>
        <w:ind w:left="360"/>
      </w:pPr>
      <w:r>
        <w:rPr>
          <w:rFonts w:ascii="Courier New" w:hAnsi="Courier New"/>
          <w:color w:val="24292E"/>
          <w:sz w:val="18"/>
        </w:rPr>
        <w:t>conference        — string</w:t>
      </w:r>
    </w:p>
    <w:p>
      <w:pPr>
        <w:shd w:val="clear" w:color="auto" w:fill="F0F2F4"/>
        <w:spacing w:before="20" w:after="20"/>
        <w:ind w:left="360"/>
      </w:pPr>
      <w:r>
        <w:rPr>
          <w:rFonts w:ascii="Courier New" w:hAnsi="Courier New"/>
          <w:color w:val="24292E"/>
          <w:sz w:val="18"/>
        </w:rPr>
        <w:t>efficiency_rating — number (adj_em = adj_o - adj_d), can be negative</w:t>
      </w:r>
    </w:p>
    <w:p>
      <w:pPr>
        <w:shd w:val="clear" w:color="auto" w:fill="F0F2F4"/>
        <w:spacing w:before="20" w:after="20"/>
        <w:ind w:left="360"/>
      </w:pPr>
      <w:r>
        <w:rPr>
          <w:rFonts w:ascii="Courier New" w:hAnsi="Courier New"/>
          <w:color w:val="24292E"/>
          <w:sz w:val="18"/>
        </w:rPr>
        <w:t>record            — string, e.g. '35-3'</w:t>
      </w:r>
    </w:p>
    <w:p>
      <w:pPr>
        <w:shd w:val="clear" w:color="auto" w:fill="F0F2F4"/>
        <w:spacing w:before="20" w:after="20"/>
        <w:ind w:left="360"/>
      </w:pPr>
      <w:r>
        <w:rPr>
          <w:rFonts w:ascii="Courier New" w:hAnsi="Courier New"/>
          <w:color w:val="24292E"/>
          <w:sz w:val="18"/>
        </w:rPr>
        <w:t>shares_total      — int, floor(efficiency_rating / 10) + 1, min 1</w:t>
      </w:r>
    </w:p>
    <w:p>
      <w:pPr>
        <w:shd w:val="clear" w:color="auto" w:fill="F0F2F4"/>
        <w:spacing w:before="20" w:after="20"/>
        <w:ind w:left="360"/>
      </w:pPr>
      <w:r>
        <w:rPr>
          <w:rFonts w:ascii="Courier New" w:hAnsi="Courier New"/>
          <w:color w:val="24292E"/>
          <w:sz w:val="18"/>
        </w:rPr>
        <w:t>share_price       — number, efficiency_rating / shares_total</w:t>
      </w:r>
    </w:p>
    <w:p>
      <w:pPr>
        <w:shd w:val="clear" w:color="auto" w:fill="F0F2F4"/>
        <w:spacing w:before="20" w:after="20"/>
        <w:ind w:left="360"/>
      </w:pPr>
      <w:r>
        <w:rPr>
          <w:rFonts w:ascii="Courier New" w:hAnsi="Courier New"/>
          <w:color w:val="24292E"/>
          <w:sz w:val="18"/>
        </w:rPr>
        <w:t>data_source       — string, e.g. 'torvik'</w:t>
      </w:r>
    </w:p>
    <w:p>
      <w:pPr>
        <w:shd w:val="clear" w:color="auto" w:fill="F0F2F4"/>
        <w:spacing w:before="20" w:after="20"/>
        <w:ind w:left="360"/>
      </w:pPr>
      <w:r>
        <w:rPr>
          <w:rFonts w:ascii="Courier New" w:hAnsi="Courier New"/>
          <w:color w:val="24292E"/>
          <w:sz w:val="18"/>
        </w:rPr>
        <w:t>last_updated      — ISO 8601 timestamp string</w:t>
      </w:r>
    </w:p>
    <w:p/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Schedule shape</w:t>
      </w:r>
    </w:p>
    <w:p>
      <w:pPr>
        <w:shd w:val="clear" w:color="auto" w:fill="F0F2F4"/>
        <w:spacing w:before="20" w:after="20"/>
        <w:ind w:left="360"/>
      </w:pPr>
      <w:r>
        <w:rPr>
          <w:rFonts w:ascii="Courier New" w:hAnsi="Courier New"/>
          <w:color w:val="24292E"/>
          <w:sz w:val="18"/>
        </w:rPr>
        <w:t>team_name — string</w:t>
      </w:r>
    </w:p>
    <w:p>
      <w:pPr>
        <w:shd w:val="clear" w:color="auto" w:fill="F0F2F4"/>
        <w:spacing w:before="20" w:after="20"/>
        <w:ind w:left="360"/>
      </w:pPr>
      <w:r>
        <w:rPr>
          <w:rFonts w:ascii="Courier New" w:hAnsi="Courier New"/>
          <w:color w:val="24292E"/>
          <w:sz w:val="18"/>
        </w:rPr>
        <w:t>games     — array of: { opponent, result (W/L/null), score, location (H/A/N), week, date }</w:t>
      </w:r>
    </w:p>
    <w:p/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Game result shape</w:t>
      </w:r>
    </w:p>
    <w:p>
      <w:pPr>
        <w:shd w:val="clear" w:color="auto" w:fill="F0F2F4"/>
        <w:spacing w:before="20" w:after="20"/>
        <w:ind w:left="360"/>
      </w:pPr>
      <w:r>
        <w:rPr>
          <w:rFonts w:ascii="Courier New" w:hAnsi="Courier New"/>
          <w:color w:val="24292E"/>
          <w:sz w:val="18"/>
        </w:rPr>
        <w:t>team_name, opponent, result, score, date</w:t>
      </w:r>
    </w:p>
    <w:p/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4. Torvik API Notes</w:t>
      </w:r>
    </w:p>
    <w:p>
      <w:pPr>
        <w:spacing w:before="0" w:after="80"/>
      </w:pPr>
      <w:r>
        <w:rPr>
          <w:rFonts w:ascii="Calibri" w:hAnsi="Calibri"/>
          <w:sz w:val="22"/>
        </w:rPr>
        <w:t>Bart Torvik explicitly invites non-commercial use and provides bulk data access without scraping. From his Data tab:</w:t>
      </w:r>
    </w:p>
    <w:p>
      <w:pPr>
        <w:shd w:val="clear" w:color="auto" w:fill="EEF3FA"/>
        <w:spacing w:before="80" w:after="240"/>
        <w:ind w:left="288" w:right="288"/>
      </w:pPr>
      <w:r>
        <w:rPr>
          <w:rFonts w:ascii="Calibri" w:hAnsi="Calibri"/>
          <w:i/>
          <w:sz w:val="20"/>
        </w:rPr>
        <w:t>"Much of the data is available at the site in .csv and .json files in the format of XXXX_team_results.csv (or .json) where XXXX = the year. These files update constantly during the season."</w:t>
      </w:r>
    </w:p>
    <w:p>
      <w:pPr>
        <w:spacing w:before="0" w:after="240"/>
      </w:pPr>
      <w:r>
        <w:rPr>
          <w:rFonts w:ascii="Calibri" w:hAnsi="Calibri"/>
          <w:sz w:val="22"/>
        </w:rPr>
        <w:t>Contact: @totally_t_bomb on Twitter. Email outreach was initiated as part of Day 1 to confirm non-commercial use. The direct JSON file endpoint does not require any authentication or special access.</w:t>
      </w:r>
    </w:p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5. Test Results</w:t>
      </w:r>
    </w:p>
    <w:p>
      <w:pPr>
        <w:spacing w:before="0" w:after="80"/>
      </w:pPr>
      <w:r>
        <w:rPr>
          <w:rFonts w:ascii="Calibri" w:hAnsi="Calibri"/>
          <w:sz w:val="22"/>
        </w:rPr>
        <w:t>All 6 adapter tests pass against live APIs (run May 5, 2026, season year 2026):</w:t>
      </w:r>
    </w:p>
    <w:p/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Torvik adapter</w:t>
      </w:r>
    </w:p>
    <w:p>
      <w:pPr>
        <w:spacing w:after="40"/>
        <w:ind w:left="288"/>
      </w:pPr>
      <w:r>
        <w:rPr>
          <w:rFonts w:ascii="Calibri" w:hAnsi="Calibri"/>
          <w:b/>
          <w:color w:val="1A7A3C"/>
          <w:sz w:val="20"/>
        </w:rPr>
        <w:t xml:space="preserve">✓  </w:t>
      </w:r>
      <w:r>
        <w:rPr>
          <w:rFonts w:ascii="Calibri" w:hAnsi="Calibri"/>
          <w:sz w:val="20"/>
        </w:rPr>
        <w:t>fetchTeams() returns an array — 365 teams</w:t>
      </w:r>
    </w:p>
    <w:p>
      <w:pPr>
        <w:spacing w:after="40"/>
        <w:ind w:left="288"/>
      </w:pPr>
      <w:r>
        <w:rPr>
          <w:rFonts w:ascii="Calibri" w:hAnsi="Calibri"/>
          <w:b/>
          <w:color w:val="1A7A3C"/>
          <w:sz w:val="20"/>
        </w:rPr>
        <w:t xml:space="preserve">✓  </w:t>
      </w:r>
      <w:r>
        <w:rPr>
          <w:rFonts w:ascii="Calibri" w:hAnsi="Calibri"/>
          <w:sz w:val="20"/>
        </w:rPr>
        <w:t>fetchTeams() items have required fields — sample: Michigan, eff=38, price=$9.50</w:t>
      </w:r>
    </w:p>
    <w:p>
      <w:pPr>
        <w:spacing w:after="40"/>
        <w:ind w:left="288"/>
      </w:pPr>
      <w:r>
        <w:rPr>
          <w:rFonts w:ascii="Calibri" w:hAnsi="Calibri"/>
          <w:b/>
          <w:color w:val="1A7A3C"/>
          <w:sz w:val="20"/>
        </w:rPr>
        <w:t xml:space="preserve">✓  </w:t>
      </w:r>
      <w:r>
        <w:rPr>
          <w:rFonts w:ascii="Calibri" w:hAnsi="Calibri"/>
          <w:sz w:val="20"/>
        </w:rPr>
        <w:t>fetchTeam('Duke') — efficiency_rating=35.58, shares=4, price=$8.90</w:t>
      </w:r>
    </w:p>
    <w:p>
      <w:pPr>
        <w:spacing w:after="40"/>
        <w:ind w:left="288"/>
      </w:pPr>
      <w:r>
        <w:rPr>
          <w:rFonts w:ascii="Calibri" w:hAnsi="Calibri"/>
          <w:b/>
          <w:color w:val="1A7A3C"/>
          <w:sz w:val="20"/>
        </w:rPr>
        <w:t xml:space="preserve">✓  </w:t>
      </w:r>
      <w:r>
        <w:rPr>
          <w:rFonts w:ascii="Calibri" w:hAnsi="Calibri"/>
          <w:sz w:val="20"/>
        </w:rPr>
        <w:t>fetchTeams() efficiency_ratings are all valid numbers — 0 null, 202 non-positive (expected for lower-tier teams)</w:t>
      </w:r>
    </w:p>
    <w:p/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ESPN adapter</w:t>
      </w:r>
    </w:p>
    <w:p>
      <w:pPr>
        <w:spacing w:after="40"/>
        <w:ind w:left="288"/>
      </w:pPr>
      <w:r>
        <w:rPr>
          <w:rFonts w:ascii="Calibri" w:hAnsi="Calibri"/>
          <w:b/>
          <w:color w:val="1A7A3C"/>
          <w:sz w:val="20"/>
        </w:rPr>
        <w:t xml:space="preserve">✓  </w:t>
      </w:r>
      <w:r>
        <w:rPr>
          <w:rFonts w:ascii="Calibri" w:hAnsi="Calibri"/>
          <w:sz w:val="20"/>
        </w:rPr>
        <w:t>fetchSchedule('Duke') returns a schedule object — 34 games</w:t>
      </w:r>
    </w:p>
    <w:p>
      <w:pPr>
        <w:spacing w:after="40"/>
        <w:ind w:left="288"/>
      </w:pPr>
      <w:r>
        <w:rPr>
          <w:rFonts w:ascii="Calibri" w:hAnsi="Calibri"/>
          <w:b/>
          <w:color w:val="1A7A3C"/>
          <w:sz w:val="20"/>
        </w:rPr>
        <w:t xml:space="preserve">✓  </w:t>
      </w:r>
      <w:r>
        <w:rPr>
          <w:rFonts w:ascii="Calibri" w:hAnsi="Calibri"/>
          <w:sz w:val="20"/>
        </w:rPr>
        <w:t>ESPN games have required fields — sample: W vs Texas Longhorns (N) 75-60</w:t>
      </w:r>
    </w:p>
    <w:p/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6. Active Configuration</w:t>
      </w:r>
    </w:p>
    <w:p>
      <w:pPr>
        <w:spacing w:before="0" w:after="80"/>
      </w:pPr>
      <w:r>
        <w:rPr>
          <w:rFonts w:ascii="Calibri" w:hAnsi="Calibri"/>
          <w:sz w:val="22"/>
        </w:rPr>
        <w:t>Provider selection is driven by these rows in the Supabase settings table (seeded by day3_schema_migration.sql):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Key</w:t>
            </w:r>
          </w:p>
        </w:tc>
        <w:tc>
          <w:tcPr>
            <w:tcW w:type="dxa" w:w="468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ourier New" w:hAnsi="Courier New"/>
                <w:sz w:val="20"/>
              </w:rPr>
              <w:t>efficiency_source</w:t>
            </w:r>
          </w:p>
        </w:tc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torvik</w:t>
            </w:r>
          </w:p>
        </w:tc>
      </w:tr>
      <w:tr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ourier New" w:hAnsi="Courier New"/>
                <w:sz w:val="20"/>
              </w:rPr>
              <w:t>schedule_source</w:t>
            </w:r>
          </w:p>
        </w:tc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sportsref (primary), espn (auto-fallback)</w:t>
            </w:r>
          </w:p>
        </w:tc>
      </w:tr>
      <w:tr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ourier New" w:hAnsi="Courier New"/>
                <w:sz w:val="20"/>
              </w:rPr>
              <w:t>results_source</w:t>
            </w:r>
          </w:p>
        </w:tc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sportsref (primary), espn (auto-fallback)</w:t>
            </w:r>
          </w:p>
        </w:tc>
      </w:tr>
    </w:tbl>
    <w:p/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7. Outstanding Items</w:t>
      </w:r>
    </w:p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Torvik seeding (Day 3 final step)</w:t>
      </w:r>
    </w:p>
    <w:p>
      <w:pPr>
        <w:spacing w:before="0" w:after="80"/>
      </w:pPr>
      <w:r>
        <w:rPr>
          <w:rFonts w:ascii="Calibri" w:hAnsi="Calibri"/>
          <w:sz w:val="22"/>
        </w:rPr>
        <w:t>The teams table seeding can now be run. Prerequisites are met: Torvik adapter is working, the unique constraint on (name, season) is in the migration, and the seed script is ready. To execute:</w:t>
      </w:r>
    </w:p>
    <w:p>
      <w:pPr>
        <w:shd w:val="clear" w:color="auto" w:fill="F0F2F4"/>
        <w:spacing w:before="20" w:after="20"/>
        <w:ind w:left="360"/>
      </w:pPr>
      <w:r>
        <w:rPr>
          <w:rFonts w:ascii="Courier New" w:hAnsi="Courier New"/>
          <w:color w:val="24292E"/>
          <w:sz w:val="18"/>
        </w:rPr>
        <w:t>SUPABASE_URL=... SUPABASE_SERVICE_KEY=... node scripts/seed-teams.js</w:t>
      </w:r>
    </w:p>
    <w:p>
      <w:pPr>
        <w:shd w:val="clear" w:color="auto" w:fill="FFF8E8"/>
        <w:spacing w:before="80" w:after="160"/>
        <w:ind w:left="288"/>
      </w:pPr>
      <w:r>
        <w:rPr>
          <w:rFonts w:ascii="Calibri" w:hAnsi="Calibri"/>
          <w:b/>
          <w:color w:val="C05000"/>
          <w:sz w:val="20"/>
        </w:rPr>
        <w:t xml:space="preserve">Note: </w:t>
      </w:r>
      <w:r>
        <w:rPr>
          <w:rFonts w:ascii="Calibri" w:hAnsi="Calibri"/>
          <w:i/>
          <w:sz w:val="20"/>
        </w:rPr>
        <w:t>Run this after the Day 3 SQL migration has been applied in Supabase.</w:t>
      </w:r>
    </w:p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Day 1 items still pending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Git branch phase1-multi-user not yet confirmed as created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Torvik outreach email sent — awaiting response to confirm non-commercial use</w:t>
      </w:r>
    </w:p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Next: Day 4 — Frontend Restructure</w:t>
      </w:r>
    </w:p>
    <w:p>
      <w:pPr>
        <w:spacing w:before="0" w:after="80"/>
      </w:pPr>
      <w:r>
        <w:rPr>
          <w:rFonts w:ascii="Calibri" w:hAnsi="Calibri"/>
          <w:sz w:val="22"/>
        </w:rPr>
        <w:t>With Days 2 and 3 complete, Day 4 can begin: adding React Router, breaking up App.jsx into component files, and wiring the data layer to Supabase.</w:t>
      </w:r>
    </w:p>
    <w:p/>
    <w:p>
      <w:pPr>
        <w:spacing w:before="480"/>
      </w:pPr>
      <w:r>
        <w:rPr>
          <w:rFonts w:ascii="Calibri" w:hAnsi="Calibri"/>
          <w:i/>
          <w:color w:val="AAAAAA"/>
          <w:sz w:val="18"/>
        </w:rPr>
        <w:t>Folio Phase 1 — internal project documentation. Generated by Cowork on 2026-05-05.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