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7BDE" w14:textId="77777777" w:rsidR="00326452" w:rsidRPr="00326452" w:rsidRDefault="00326452" w:rsidP="0032645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:lang w:eastAsia="en-GB"/>
          <w14:ligatures w14:val="none"/>
        </w:rPr>
        <w:t>Suggested mixing procedure</w:t>
      </w:r>
    </w:p>
    <w:p w14:paraId="6B9BFBB7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Phase A – water gel base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Add about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65–75% DI water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into the main vessel. Start gentle mixing, then add </w:t>
      </w:r>
      <w:hyperlink r:id="rId5" w:anchor="related-product-184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Disodium EDTA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0.2%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until fully dissolved.</w:t>
      </w:r>
    </w:p>
    <w:p w14:paraId="5A149649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Hydrate HEC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Heat Phase A to about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70°C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. Slowly sprinkle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HEC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onto the water surface little by little while mixing. Do not dump it in one portion. Continue mixing until fully dispersed and hydrated into a smooth gel.</w:t>
      </w:r>
    </w:p>
    <w:p w14:paraId="62D663A1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Dissolve </w:t>
      </w:r>
      <w:hyperlink r:id="rId6" w:anchor="related-product-75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Allantoin</w:t>
        </w:r>
      </w:hyperlink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While still warm, add </w:t>
      </w:r>
      <w:hyperlink r:id="rId7" w:anchor="related-product-75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Allantoin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0.3%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and mix until no visible particles remain. This helps reduce later crystallization risk.</w:t>
      </w:r>
    </w:p>
    <w:p w14:paraId="55B91405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Cool down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Cool to below about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45°C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before adding heat-sensitive/less heat-needed ingredients.</w:t>
      </w:r>
    </w:p>
    <w:p w14:paraId="3841D94F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Add water-soluble actives/humectants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Add </w:t>
      </w:r>
      <w:hyperlink r:id="rId8" w:anchor="related-product-74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Safe-B3™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5%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, </w:t>
      </w:r>
      <w:hyperlink r:id="rId9" w:anchor="related-product-164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Na</w:t>
        </w:r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t</w:t>
        </w:r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ural Betaine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2%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, and </w:t>
      </w:r>
      <w:hyperlink r:id="rId10" w:anchor="related-product-145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Sodium Lactate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60% 2%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. Mix until uniform.</w:t>
      </w:r>
    </w:p>
    <w:p w14:paraId="513A8F34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Fragrance premix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</w:r>
      <w:proofErr w:type="spellStart"/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Premix</w:t>
      </w:r>
      <w:proofErr w:type="spellEnd"/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fragrance 1% + </w:t>
      </w:r>
      <w:hyperlink r:id="rId11" w:anchor="related-product-175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Polysorbate 20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2%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in a separate beaker until clear or uniform, then add to the main batch. If the batch becomes cloudy or separates, reduce fragrance or adjust solubilization based on testing.</w:t>
      </w:r>
    </w:p>
    <w:p w14:paraId="4E94A01F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Add surfactants slowly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Add </w:t>
      </w:r>
      <w:hyperlink r:id="rId12" w:anchor="related-product-177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Lauryl Glucoside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5%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and </w:t>
      </w:r>
      <w:proofErr w:type="spellStart"/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fldChar w:fldCharType="begin"/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instrText>HYPERLINK "https://www.myskinrecipes.com/expert/qa/anti-acne-cleansing-gel-formula-for-combination-skin-easy-rinsing-hec-dissolution-and-ph-adjustment" \l "related-product-160"</w:instrTex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fldChar w:fldCharType="separate"/>
      </w:r>
      <w:r w:rsidRPr="00326452">
        <w:rPr>
          <w:rFonts w:ascii="Segoe UI" w:eastAsia="Times New Roman" w:hAnsi="Segoe UI" w:cs="Segoe UI"/>
          <w:b/>
          <w:bCs/>
          <w:color w:val="F39C12"/>
          <w:kern w:val="0"/>
          <w:lang w:eastAsia="en-GB"/>
          <w14:ligatures w14:val="none"/>
        </w:rPr>
        <w:t>Cocamidopropyl</w:t>
      </w:r>
      <w:proofErr w:type="spellEnd"/>
      <w:r w:rsidRPr="00326452">
        <w:rPr>
          <w:rFonts w:ascii="Segoe UI" w:eastAsia="Times New Roman" w:hAnsi="Segoe UI" w:cs="Segoe UI"/>
          <w:b/>
          <w:bCs/>
          <w:color w:val="F39C12"/>
          <w:kern w:val="0"/>
          <w:lang w:eastAsia="en-GB"/>
          <w14:ligatures w14:val="none"/>
        </w:rPr>
        <w:t xml:space="preserve"> Betaine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fldChar w:fldCharType="end"/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5%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slowly with low–medium mixing to avoid foam. If </w:t>
      </w:r>
      <w:hyperlink r:id="rId13" w:anchor="related-product-177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Lauryl Glucoside</w:t>
        </w:r>
      </w:hyperlink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is too viscous, warm it separately to about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50–60°C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before adding.</w:t>
      </w:r>
    </w:p>
    <w:p w14:paraId="36CFA41F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Add salicylic acid and preservative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Add </w:t>
      </w:r>
      <w:hyperlink r:id="rId14" w:anchor="related-product-7594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Liquid Salicylic Acid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2.5%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and mix well. Add </w:t>
      </w:r>
      <w:hyperlink r:id="rId15" w:anchor="related-product-155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Phenoxyethanol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1%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when the batch is below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60°C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.</w:t>
      </w:r>
    </w:p>
    <w:p w14:paraId="56D81174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Make up to 100% and adjust pH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>Add remaining DI water to 100%. Measure pH directly without dilution. Adjust down with </w:t>
      </w:r>
      <w:hyperlink r:id="rId16" w:anchor="related-product-6554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Lactic Acid (AHA) 90%</w:t>
        </w:r>
      </w:hyperlink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or </w:t>
      </w:r>
      <w:hyperlink r:id="rId17" w:anchor="related-product-30693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Citric Acid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solution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little by little to about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 5.0–5.5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. After each addition, mix 10–15 minutes and re-measure.</w:t>
      </w:r>
    </w:p>
    <w:p w14:paraId="3A2260F7" w14:textId="77777777" w:rsidR="00326452" w:rsidRPr="00326452" w:rsidRDefault="00326452" w:rsidP="00326452">
      <w:pPr>
        <w:numPr>
          <w:ilvl w:val="0"/>
          <w:numId w:val="1"/>
        </w:num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Rest and test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br/>
        <w:t xml:space="preserve">Let bubbles settle for 24 hours, then check pH, viscosity, clarity/cloudiness, </w:t>
      </w:r>
      <w:proofErr w:type="spellStart"/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odor</w:t>
      </w:r>
      <w:proofErr w:type="spellEnd"/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, separation, and any precipitation. For commercial production, perform stability testing and preservative challenge testing.</w:t>
      </w:r>
    </w:p>
    <w:p w14:paraId="53EEA4B1" w14:textId="77777777" w:rsidR="00326452" w:rsidRPr="00326452" w:rsidRDefault="00326452" w:rsidP="00326452">
      <w:pPr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Most practical starting adjustment: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keep the formula concept, but trial </w:t>
      </w:r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HEC 0.8–1.2%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first. If it still feels slippery, reduce </w:t>
      </w:r>
      <w:hyperlink r:id="rId18" w:anchor="related-product-145" w:history="1">
        <w:r w:rsidRPr="00326452">
          <w:rPr>
            <w:rFonts w:ascii="Segoe UI" w:eastAsia="Times New Roman" w:hAnsi="Segoe UI" w:cs="Segoe UI"/>
            <w:b/>
            <w:bCs/>
            <w:color w:val="F39C12"/>
            <w:kern w:val="0"/>
            <w:lang w:eastAsia="en-GB"/>
            <w14:ligatures w14:val="none"/>
          </w:rPr>
          <w:t>Sodium Lactate</w:t>
        </w:r>
      </w:hyperlink>
      <w:r w:rsidRPr="00326452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 60% to 0–1%</w:t>
      </w:r>
      <w:r w:rsidRPr="00326452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in the next trial and compare rinse-off feel.</w:t>
      </w:r>
    </w:p>
    <w:p w14:paraId="053106A7" w14:textId="77777777" w:rsidR="00326452" w:rsidRPr="00326452" w:rsidRDefault="00326452" w:rsidP="00326452">
      <w:pPr>
        <w:spacing w:after="100" w:afterAutospacing="1"/>
        <w:outlineLvl w:val="4"/>
        <w:rPr>
          <w:rFonts w:ascii="Segoe UI" w:eastAsia="Times New Roman" w:hAnsi="Segoe UI" w:cs="Segoe UI"/>
          <w:color w:val="333333"/>
          <w:kern w:val="0"/>
          <w:sz w:val="20"/>
          <w:szCs w:val="2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333333"/>
          <w:kern w:val="0"/>
          <w:sz w:val="20"/>
          <w:szCs w:val="20"/>
          <w:lang w:eastAsia="en-GB"/>
          <w14:ligatures w14:val="none"/>
        </w:rPr>
        <w:t>Relevant References</w:t>
      </w:r>
    </w:p>
    <w:p w14:paraId="44D8DACE" w14:textId="77777777" w:rsidR="00326452" w:rsidRPr="00326452" w:rsidRDefault="00326452" w:rsidP="00326452">
      <w:pPr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333333"/>
          <w:kern w:val="0"/>
          <w:sz w:val="21"/>
          <w:szCs w:val="21"/>
          <w:lang w:eastAsia="en-GB"/>
          <w14:ligatures w14:val="none"/>
        </w:rPr>
        <w:t>Sources supporting the key technical claims in this answer</w:t>
      </w:r>
    </w:p>
    <w:p w14:paraId="4E4EFC22" w14:textId="77777777" w:rsidR="00326452" w:rsidRPr="00326452" w:rsidRDefault="00326452" w:rsidP="00326452">
      <w:pPr>
        <w:spacing w:after="100" w:afterAutospacing="1"/>
        <w:outlineLvl w:val="5"/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  <w:t>Handbook of Cosmetic Science and Technology</w:t>
      </w:r>
    </w:p>
    <w:p w14:paraId="472B8263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lastRenderedPageBreak/>
        <w:t xml:space="preserve">Barel, Paye, </w:t>
      </w: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MaibachCRC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Press2014</w:t>
      </w:r>
    </w:p>
    <w:p w14:paraId="6B35E83A" w14:textId="77777777" w:rsidR="00326452" w:rsidRPr="00326452" w:rsidRDefault="00326452" w:rsidP="00326452">
      <w:pPr>
        <w:spacing w:after="100" w:afterAutospacing="1"/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  <w:t>General support for cleanser formulation, surfactant mildness, rheology modifiers, preservative testing, and stability considerations.</w:t>
      </w:r>
    </w:p>
    <w:p w14:paraId="0E1AF83A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Barel, Paye, Maibach. Handbook of Cosmetic Science and Technology, 4th ed. CRC Press, 2014.</w:t>
      </w:r>
    </w:p>
    <w:p w14:paraId="3BB185FD" w14:textId="77777777" w:rsidR="00326452" w:rsidRPr="00326452" w:rsidRDefault="00326452" w:rsidP="00326452">
      <w:pPr>
        <w:spacing w:after="100" w:afterAutospacing="1"/>
        <w:outlineLvl w:val="5"/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  <w:t>Cosmetic Dermatology: Products and Procedures</w:t>
      </w:r>
    </w:p>
    <w:p w14:paraId="246E083D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Draelos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ZDWiley-Blackwell2016</w:t>
      </w:r>
    </w:p>
    <w:p w14:paraId="2C3ED105" w14:textId="77777777" w:rsidR="00326452" w:rsidRPr="00326452" w:rsidRDefault="00326452" w:rsidP="00326452">
      <w:pPr>
        <w:spacing w:after="100" w:afterAutospacing="1"/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  <w:t>General support for facial cleanser, acne-prone skin, niacinamide, salicylic acid, and irritation considerations.</w:t>
      </w:r>
    </w:p>
    <w:p w14:paraId="00E583E3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Draelos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ZD. Cosmetic Dermatology: Products and Procedures, 2nd ed. Wiley-Blackwell, 2016.</w:t>
      </w:r>
    </w:p>
    <w:p w14:paraId="0001517E" w14:textId="77777777" w:rsidR="00326452" w:rsidRPr="00326452" w:rsidRDefault="00326452" w:rsidP="00326452">
      <w:pPr>
        <w:spacing w:after="100" w:afterAutospacing="1"/>
        <w:outlineLvl w:val="5"/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  <w:t>The effect of 2% niacinamide on facial sebum production</w:t>
      </w:r>
    </w:p>
    <w:p w14:paraId="4DA000D4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Draelos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ZD, Matsubara A, Smiles </w:t>
      </w: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KJournal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of Cosmetic and Laser Therapy2006</w:t>
      </w:r>
    </w:p>
    <w:p w14:paraId="0E4C90E2" w14:textId="77777777" w:rsidR="00326452" w:rsidRPr="00326452" w:rsidRDefault="00326452" w:rsidP="00326452">
      <w:pPr>
        <w:spacing w:after="100" w:afterAutospacing="1"/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  <w:t>Supports niacinamide relevance for oily/combination and acne-prone skin positioning.</w:t>
      </w:r>
    </w:p>
    <w:p w14:paraId="2A5EDCB5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Draelos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ZD, Matsubara A, Smiles K. The effect of 2% niacinamide on facial sebum production. Journal of Cosmetic and Laser Therapy. 2006;8(2):96-101.</w:t>
      </w:r>
    </w:p>
    <w:p w14:paraId="1445E4D9" w14:textId="77777777" w:rsidR="00326452" w:rsidRPr="00326452" w:rsidRDefault="00326452" w:rsidP="00326452">
      <w:pPr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8A5A09"/>
          <w:kern w:val="0"/>
          <w:lang w:eastAsia="en-GB"/>
          <w14:ligatures w14:val="none"/>
        </w:rPr>
        <w:t>DOI: 10.1080/14764170600717704</w:t>
      </w:r>
    </w:p>
    <w:p w14:paraId="58690B2F" w14:textId="77777777" w:rsidR="00326452" w:rsidRPr="00326452" w:rsidRDefault="00326452" w:rsidP="00326452">
      <w:pPr>
        <w:spacing w:after="100" w:afterAutospacing="1"/>
        <w:outlineLvl w:val="5"/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212529"/>
          <w:kern w:val="0"/>
          <w:sz w:val="15"/>
          <w:szCs w:val="15"/>
          <w:lang w:eastAsia="en-GB"/>
          <w14:ligatures w14:val="none"/>
        </w:rPr>
        <w:t>Salicylic acid and the skin</w:t>
      </w:r>
    </w:p>
    <w:p w14:paraId="50DEE64F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Kligman AM, Kligman </w:t>
      </w:r>
      <w:proofErr w:type="spellStart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LHJournal</w:t>
      </w:r>
      <w:proofErr w:type="spellEnd"/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 xml:space="preserve"> of the American Academy of Dermatology1998</w:t>
      </w:r>
    </w:p>
    <w:p w14:paraId="1236558B" w14:textId="77777777" w:rsidR="00326452" w:rsidRPr="00326452" w:rsidRDefault="00326452" w:rsidP="00326452">
      <w:pPr>
        <w:spacing w:after="100" w:afterAutospacing="1"/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495057"/>
          <w:kern w:val="0"/>
          <w:lang w:eastAsia="en-GB"/>
          <w14:ligatures w14:val="none"/>
        </w:rPr>
        <w:t>Supports salicylic acid keratolytic/acne-related rationale, with limitation that wash-off contact time and product form affect performance.</w:t>
      </w:r>
    </w:p>
    <w:p w14:paraId="497C7E1A" w14:textId="77777777" w:rsidR="00326452" w:rsidRPr="00326452" w:rsidRDefault="00326452" w:rsidP="00326452">
      <w:pPr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color w:val="6C757D"/>
          <w:kern w:val="0"/>
          <w:lang w:eastAsia="en-GB"/>
          <w14:ligatures w14:val="none"/>
        </w:rPr>
        <w:t>Kligman AM, Kligman LH. Salicylic acid and the skin. Journal of the American Academy of Dermatology. 1998;38(4):S1-S4.</w:t>
      </w:r>
    </w:p>
    <w:p w14:paraId="47FE85A9" w14:textId="77777777" w:rsidR="00326452" w:rsidRPr="00326452" w:rsidRDefault="00326452" w:rsidP="00326452">
      <w:pPr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326452">
        <w:rPr>
          <w:rFonts w:ascii="Segoe UI" w:eastAsia="Times New Roman" w:hAnsi="Segoe UI" w:cs="Segoe UI"/>
          <w:b/>
          <w:bCs/>
          <w:color w:val="8A5A09"/>
          <w:kern w:val="0"/>
          <w:lang w:eastAsia="en-GB"/>
          <w14:ligatures w14:val="none"/>
        </w:rPr>
        <w:t>DOI: 10.1016/S0190-9622(98)70431-2</w:t>
      </w:r>
    </w:p>
    <w:p w14:paraId="0A9BD0E3" w14:textId="77777777" w:rsidR="00B00B8C" w:rsidRDefault="00B00B8C"/>
    <w:sectPr w:rsidR="00B00B8C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93AFB"/>
    <w:multiLevelType w:val="multilevel"/>
    <w:tmpl w:val="BE36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25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52"/>
    <w:rsid w:val="0000489D"/>
    <w:rsid w:val="002B64AD"/>
    <w:rsid w:val="00326452"/>
    <w:rsid w:val="003A5927"/>
    <w:rsid w:val="00404A74"/>
    <w:rsid w:val="006C1090"/>
    <w:rsid w:val="00AB66E4"/>
    <w:rsid w:val="00B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D1724"/>
  <w15:chartTrackingRefBased/>
  <w15:docId w15:val="{AB725CFC-2DD7-9045-B488-7CC72D1C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64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2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2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64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645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26452"/>
    <w:rPr>
      <w:color w:val="0000FF"/>
      <w:u w:val="single"/>
    </w:rPr>
  </w:style>
  <w:style w:type="paragraph" w:customStyle="1" w:styleId="mb-0">
    <w:name w:val="mb-0"/>
    <w:basedOn w:val="Normal"/>
    <w:rsid w:val="003264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itation-note">
    <w:name w:val="citation-note"/>
    <w:basedOn w:val="Normal"/>
    <w:rsid w:val="003264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itation-text">
    <w:name w:val="citation-text"/>
    <w:basedOn w:val="Normal"/>
    <w:rsid w:val="003264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chip">
    <w:name w:val="citation-chip"/>
    <w:basedOn w:val="DefaultParagraphFont"/>
    <w:rsid w:val="00326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3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8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2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7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1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5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5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0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yskinrecipes.com/expert/qa/anti-acne-cleansing-gel-formula-for-combination-skin-easy-rinsing-hec-dissolution-and-ph-adjustment" TargetMode="External"/><Relationship Id="rId14" Type="http://schemas.openxmlformats.org/officeDocument/2006/relationships/hyperlink" Target="https://www.myskinrecipes.com/expert/qa/anti-acne-cleansing-gel-formula-for-combination-skin-easy-rinsing-hec-dissolution-and-ph-adjust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cp:lastPrinted>2026-06-14T02:37:00Z</cp:lastPrinted>
  <dcterms:created xsi:type="dcterms:W3CDTF">2026-06-12T06:37:00Z</dcterms:created>
  <dcterms:modified xsi:type="dcterms:W3CDTF">2026-06-14T02:37:00Z</dcterms:modified>
</cp:coreProperties>
</file>