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Abril 2026</w:t>
      </w:r>
    </w:p>
    <w:p>
      <w:pPr>
        <w:spacing w:after="300"/>
        <w:jc w:val="center"/>
      </w:pPr>
      <w:r>
        <w:rPr>
          <w:color w:val="595959"/>
          <w:sz w:val="24"/>
          <w:szCs w:val="24"/>
        </w:rPr>
        <w:t xml:space="preserve">Claudia Pfeng González · Sesiones del 3, 17 y 24 de abril de 2026</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Las sesiones de este mes incluyen tramos extensos de conversación personal de la propia terapeuta (agotamiento doméstico, vida social, avance de su tesis) que se resumen solo cuando aportan contexto directo al trabajo con Claudia. El tema del hermano de Claudia, ya trabajado en meses anteriores, continúa presente y se documenta al mismo nivel de patrón, sin detalle explícito.</w:t>
      </w:r>
    </w:p>
    <w:p>
      <w:pPr>
        <w:pStyle w:val="Heading1"/>
        <w:pBdr>
          <w:bottom w:val="single" w:color="8A6D3B" w:sz="8" w:space="6"/>
        </w:pBdr>
        <w:spacing w:after="100" w:before="400"/>
      </w:pPr>
      <w:r>
        <w:rPr>
          <w:b/>
          <w:bCs/>
          <w:color w:val="1F3864"/>
          <w:sz w:val="30"/>
          <w:szCs w:val="30"/>
        </w:rPr>
        <w:t xml:space="preserve">Sesión — 3 de abril de 2026</w:t>
      </w:r>
    </w:p>
    <w:p>
      <w:pPr>
        <w:pStyle w:val="Heading2"/>
        <w:spacing w:after="140" w:before="260"/>
      </w:pPr>
      <w:r>
        <w:rPr>
          <w:b/>
          <w:bCs/>
          <w:color w:val="8A6D3B"/>
          <w:sz w:val="24"/>
          <w:szCs w:val="24"/>
        </w:rPr>
        <w:t xml:space="preserve">1. Logística familiar: la nariz de Franny, el brazo de Martín</w:t>
      </w:r>
    </w:p>
    <w:p>
      <w:pPr>
        <w:spacing w:after="180" w:line="300"/>
        <w:jc w:val="both"/>
      </w:pPr>
      <w:r>
        <w:rPr>
          <w:sz w:val="22"/>
          <w:szCs w:val="22"/>
        </w:rPr>
        <w:t xml:space="preserve">La sesión abre con actualizaciones de salud de los hijos: Franny se recupera de una fractura de nariz —producida accidentalmente por una compañera de curso durante un juego— y espera definir la fecha de la cirugía correctiva según el cierre de su crecimiento óseo; Martín continúa la kinesiología de su brazo, ya casi dado de alta, y su cirugía de mandíbula queda agendada para junio.</w:t>
      </w:r>
    </w:p>
    <w:p>
      <w:pPr>
        <w:pStyle w:val="Heading2"/>
        <w:spacing w:after="140" w:before="260"/>
      </w:pPr>
      <w:r>
        <w:rPr>
          <w:b/>
          <w:bCs/>
          <w:color w:val="8A6D3B"/>
          <w:sz w:val="24"/>
          <w:szCs w:val="24"/>
        </w:rPr>
        <w:t xml:space="preserve">2. "Me agota el rol de supervisora": el agotamiento doméstico</w:t>
      </w:r>
    </w:p>
    <w:p>
      <w:pPr>
        <w:spacing w:after="180" w:line="300"/>
        <w:jc w:val="both"/>
      </w:pPr>
      <w:r>
        <w:rPr>
          <w:sz w:val="22"/>
          <w:szCs w:val="22"/>
        </w:rPr>
        <w:t xml:space="preserve">Claudia describe, con humor pero también con cansancio real, la sobrecarga de sostener el orden doméstico cotidiano —recoger tras las mascotas, coordinar tareas del hogar— aun cuando en teoría cada miembro de la familia tiene asignada una responsabilidad: </w:t>
      </w:r>
      <w:r>
        <w:rPr>
          <w:i/>
          <w:iCs/>
          <w:color w:val="1F3864"/>
          <w:sz w:val="22"/>
          <w:szCs w:val="22"/>
        </w:rPr>
        <w:t xml:space="preserve">«dura dos días y volvemos a cero»</w:t>
      </w:r>
      <w:r>
        <w:rPr>
          <w:sz w:val="22"/>
          <w:szCs w:val="22"/>
        </w:rPr>
        <w:t xml:space="preserve">. Reconoce que lo que más le pesa no es la tarea en sí, sino sostener el rol de "hacer que las cosas pasen", de ser quien recuerda y exige.</w:t>
      </w:r>
    </w:p>
    <w:p>
      <w:pPr>
        <w:spacing w:after="180" w:line="300"/>
        <w:jc w:val="both"/>
      </w:pPr>
      <w:r>
        <w:rPr>
          <w:sz w:val="22"/>
          <w:szCs w:val="22"/>
        </w:rPr>
        <w:t xml:space="preserve">Se comparte, como contexto —no como consejo directo para Claudia—, la misma tensión vivida por la propia terapeuta en su casa con la crianza de sus hijos y el fomento de su autonomía (dejarlos ir solos al colegio en transporte escolar), como ilustración de cuánto cuesta soltar el control aun sabiendo que es lo que conviene.</w:t>
      </w:r>
    </w:p>
    <w:p>
      <w:r>
        <w:br w:type="page"/>
      </w:r>
    </w:p>
    <w:p>
      <w:pPr>
        <w:pStyle w:val="Heading1"/>
        <w:pBdr>
          <w:bottom w:val="single" w:color="8A6D3B" w:sz="8" w:space="6"/>
        </w:pBdr>
        <w:spacing w:after="100" w:before="400"/>
      </w:pPr>
      <w:r>
        <w:rPr>
          <w:b/>
          <w:bCs/>
          <w:color w:val="1F3864"/>
          <w:sz w:val="30"/>
          <w:szCs w:val="30"/>
        </w:rPr>
        <w:t xml:space="preserve">Sesión — 17 de abril de 2026</w:t>
      </w:r>
    </w:p>
    <w:p>
      <w:pPr>
        <w:pStyle w:val="Heading2"/>
        <w:spacing w:after="140" w:before="260"/>
      </w:pPr>
      <w:r>
        <w:rPr>
          <w:b/>
          <w:bCs/>
          <w:color w:val="8A6D3B"/>
          <w:sz w:val="24"/>
          <w:szCs w:val="24"/>
        </w:rPr>
        <w:t xml:space="preserve">1. La operación de Martín: costos y trámites</w:t>
      </w:r>
    </w:p>
    <w:p>
      <w:pPr>
        <w:spacing w:after="180" w:line="300"/>
        <w:jc w:val="both"/>
      </w:pPr>
      <w:r>
        <w:rPr>
          <w:sz w:val="22"/>
          <w:szCs w:val="22"/>
        </w:rPr>
        <w:t xml:space="preserve">Claudia detalla la gestión en curso para la cirugía de mandíbula de Martín: un examen previo obligatorio (polisomnografía), cotizaciones entre distintas clínicas, y la incertidumbre de cuánto cubrirá el seguro complementario según si el caso se clasifica como salud o como estético. Se acuerda, en paralelo, comenzar en mayo la revisión conjunta de los primeros capítulos del libro/tesis de la terapeuta.</w:t>
      </w:r>
    </w:p>
    <w:p>
      <w:pPr>
        <w:pStyle w:val="Heading2"/>
        <w:spacing w:after="140" w:before="260"/>
      </w:pPr>
      <w:r>
        <w:rPr>
          <w:b/>
          <w:bCs/>
          <w:color w:val="8A6D3B"/>
          <w:sz w:val="24"/>
          <w:szCs w:val="24"/>
        </w:rPr>
        <w:t xml:space="preserve">2. "No me estoy tomando el veneno diario": el vínculo con el hermano, un año después</w:t>
      </w:r>
    </w:p>
    <w:p>
      <w:pPr>
        <w:spacing w:after="180" w:line="300"/>
        <w:jc w:val="both"/>
      </w:pPr>
      <w:r>
        <w:rPr>
          <w:sz w:val="22"/>
          <w:szCs w:val="22"/>
        </w:rPr>
        <w:t xml:space="preserve">Se hace un balance del cambio con Cristian a lo largo del año de trabajo: ya se saludan de beso, se miran, él no le grita a Claudia directamente. Se le pregunta con qué frecuencia sigue "tomándose el veneno" de pensar en él con rabia, y Claudia reconoce una reducción real: </w:t>
      </w:r>
      <w:r>
        <w:rPr>
          <w:i/>
          <w:iCs/>
          <w:color w:val="1F3864"/>
          <w:sz w:val="22"/>
          <w:szCs w:val="22"/>
        </w:rPr>
        <w:t xml:space="preserve">«ya no me tomo ese veneno todas las mañanas, como en los últimos 20 años»</w:t>
      </w:r>
      <w:r>
        <w:rPr>
          <w:sz w:val="22"/>
          <w:szCs w:val="22"/>
        </w:rPr>
        <w:t xml:space="preserve">. Se insiste en que este avance depende de ella, no de que Cristian cambie: "él va a seguir siendo lo que es; lo que cambia es la intensidad que tú le das".</w:t>
      </w:r>
    </w:p>
    <w:p>
      <w:pPr>
        <w:pStyle w:val="Heading2"/>
        <w:spacing w:after="140" w:before="260"/>
      </w:pPr>
      <w:r>
        <w:rPr>
          <w:b/>
          <w:bCs/>
          <w:color w:val="8A6D3B"/>
          <w:sz w:val="24"/>
          <w:szCs w:val="24"/>
        </w:rPr>
        <w:t xml:space="preserve">3. "Elegir bandos": la petición de la hermana</w:t>
      </w:r>
    </w:p>
    <w:p>
      <w:pPr>
        <w:spacing w:after="180" w:line="300"/>
        <w:jc w:val="both"/>
      </w:pPr>
      <w:r>
        <w:rPr>
          <w:sz w:val="22"/>
          <w:szCs w:val="22"/>
        </w:rPr>
        <w:t xml:space="preserve">Claudia relata que su hermana Moni le reclamó que, al seguir yendo a almorzar a casa de la madre los domingos, ella y Francisco terminan "quedando como los malos" frente a los hijos de Moni, que se abstienen de ir por rechazo a Cristian. Se trabaja la trampa de fondo: la petición implícita de tomar partido, y se ayuda a Claudia a volver a su propio objetivo —ver a sus padres, no acompañar o evitar a su hermano— en vez de organizar su conducta en función de la aprobación de su hermana.</w:t>
      </w:r>
    </w:p>
    <w:p>
      <w:pPr>
        <w:spacing w:after="180" w:line="300"/>
        <w:jc w:val="both"/>
      </w:pPr>
      <w:r>
        <w:rPr>
          <w:sz w:val="22"/>
          <w:szCs w:val="22"/>
        </w:rPr>
        <w:t xml:space="preserve">Se cuestiona también, como ejercicio, por qué la madre prioriza el bienestar de Cristian sobre el de Moni al insistir en las visitas conjuntas, dejando la pregunta abierta para que la respuesta "llegue" en vez de forzarla en el momento.</w:t>
      </w:r>
    </w:p>
    <w:p>
      <w:r>
        <w:br w:type="page"/>
      </w:r>
    </w:p>
    <w:p>
      <w:pPr>
        <w:pStyle w:val="Heading1"/>
        <w:pBdr>
          <w:bottom w:val="single" w:color="8A6D3B" w:sz="8" w:space="6"/>
        </w:pBdr>
        <w:spacing w:after="100" w:before="400"/>
      </w:pPr>
      <w:r>
        <w:rPr>
          <w:b/>
          <w:bCs/>
          <w:color w:val="1F3864"/>
          <w:sz w:val="30"/>
          <w:szCs w:val="30"/>
        </w:rPr>
        <w:t xml:space="preserve">Sesión — 24 de abril de 2026</w:t>
      </w:r>
    </w:p>
    <w:p>
      <w:pPr>
        <w:pStyle w:val="Heading2"/>
        <w:spacing w:after="140" w:before="260"/>
      </w:pPr>
      <w:r>
        <w:rPr>
          <w:b/>
          <w:bCs/>
          <w:color w:val="8A6D3B"/>
          <w:sz w:val="24"/>
          <w:szCs w:val="24"/>
        </w:rPr>
        <w:t xml:space="preserve">1. Apertura: cumpleaños próximos y el cansancio de trasnochar</w:t>
      </w:r>
    </w:p>
    <w:p>
      <w:pPr>
        <w:spacing w:after="180" w:line="300"/>
        <w:jc w:val="both"/>
      </w:pPr>
      <w:r>
        <w:rPr>
          <w:sz w:val="22"/>
          <w:szCs w:val="22"/>
        </w:rPr>
        <w:t xml:space="preserve">La sesión abre con ambas comentando el cansancio acumulado tras trasnochar —la terapeuta por un taller, con la reflexión de que la recuperación cuesta más "a puertas de cumplir 50"— y con noticias domésticas breves sobre las mascotas de cada una.</w:t>
      </w:r>
    </w:p>
    <w:p>
      <w:pPr>
        <w:pStyle w:val="Heading2"/>
        <w:spacing w:after="140" w:before="260"/>
      </w:pPr>
      <w:r>
        <w:rPr>
          <w:b/>
          <w:bCs/>
          <w:color w:val="8A6D3B"/>
          <w:sz w:val="24"/>
          <w:szCs w:val="24"/>
        </w:rPr>
        <w:t xml:space="preserve">2. Martín y la vocación de teatro: el conflicto con Francisco</w:t>
      </w:r>
    </w:p>
    <w:p>
      <w:pPr>
        <w:spacing w:after="180" w:line="300"/>
        <w:jc w:val="both"/>
      </w:pPr>
      <w:r>
        <w:rPr>
          <w:sz w:val="22"/>
          <w:szCs w:val="22"/>
        </w:rPr>
        <w:t xml:space="preserve">El centro de la sesión es la indecisión vocacional de Martín, que quiere estudiar teatro pero anticipa el rechazo de su padre —"¿para que me muera de hambre?"—, y la resistencia real de Francisco a apoyar esa opción. Claudia cuenta que ya conversó con Martín animándolo a explorar teatro, y que le gustaría que Francisco hiciera lo mismo, pero él se cierra.</w:t>
      </w:r>
    </w:p>
    <w:p>
      <w:pPr>
        <w:spacing w:after="180" w:line="300"/>
        <w:jc w:val="both"/>
      </w:pPr>
      <w:r>
        <w:rPr>
          <w:sz w:val="22"/>
          <w:szCs w:val="22"/>
        </w:rPr>
        <w:t xml:space="preserve">Se invita a Claudia a mirar a su suegro y a su propio padre como referencia: el padre de Claudia también quiso estudiar algo distinto (filosofía) y terminó "resignado" a un trabajo que no disfrutaba por presión económica, sosteniendo un resentimiento de fondo que nunca resolvió. Se plantea, sin embargo, un límite importante: </w:t>
      </w:r>
      <w:r>
        <w:rPr>
          <w:i/>
          <w:iCs/>
          <w:color w:val="1F3864"/>
          <w:sz w:val="22"/>
          <w:szCs w:val="22"/>
        </w:rPr>
        <w:t xml:space="preserve">«cuando decides tener hijos, ya no puedes sobreponer tus propios deseos por sobre el bienestar de lo que has creado»</w:t>
      </w:r>
      <w:r>
        <w:rPr>
          <w:sz w:val="22"/>
          <w:szCs w:val="22"/>
        </w:rPr>
        <w:t xml:space="preserve">; se trata de acompañar la vocación de Martín, no de que él repita el patrón de sacrificio del abuelo en sentido inverso, ignorando la realidad económica.</w:t>
      </w:r>
    </w:p>
    <w:p>
      <w:pPr>
        <w:spacing w:after="180" w:line="300"/>
        <w:jc w:val="both"/>
      </w:pPr>
      <w:r>
        <w:rPr>
          <w:sz w:val="22"/>
          <w:szCs w:val="22"/>
        </w:rPr>
        <w:t xml:space="preserve">Se ofrece una salida concreta y menos rígida: que Martín postule a teatro guardando el puntaje de la prueba, con la posibilidad de cambiar de carrera a mitad de año si no resuena con él, en vez de vivirlo como una decisión de una sola vía. Se recuerda también que la propia terapeuta transitó por varias carreras y oficios antes de encontrar su vocación actual.</w:t>
      </w:r>
    </w:p>
    <w:p>
      <w:pPr>
        <w:pStyle w:val="Heading2"/>
        <w:spacing w:after="140" w:before="260"/>
      </w:pPr>
      <w:r>
        <w:rPr>
          <w:b/>
          <w:bCs/>
          <w:color w:val="8A6D3B"/>
          <w:sz w:val="24"/>
          <w:szCs w:val="24"/>
        </w:rPr>
        <w:t xml:space="preserve">3. Cierre: hablar con el padre antes de que sea tarde</w:t>
      </w:r>
    </w:p>
    <w:p>
      <w:pPr>
        <w:spacing w:after="180" w:line="300"/>
        <w:jc w:val="both"/>
      </w:pPr>
      <w:r>
        <w:rPr>
          <w:sz w:val="22"/>
          <w:szCs w:val="22"/>
        </w:rPr>
        <w:t xml:space="preserve">La sesión cierra con la terapeuta animando a Claudia a aprovechar el tiempo con su padre, cuya memoria y audición se deterioran progresivamente: </w:t>
      </w:r>
      <w:r>
        <w:rPr>
          <w:i/>
          <w:iCs/>
          <w:color w:val="1F3864"/>
          <w:sz w:val="22"/>
          <w:szCs w:val="22"/>
        </w:rPr>
        <w:t xml:space="preserve">«háblale, deja que tu niña pequeña le cobre todo lo que quiera cobrarle; no es para él, es para ti»</w:t>
      </w:r>
      <w:r>
        <w:rPr>
          <w:sz w:val="22"/>
          <w:szCs w:val="22"/>
        </w:rPr>
        <w:t xml:space="preserve">, sugiriendo, si hablar resulta difícil por la sordera, escribirle una carta.</w:t>
      </w:r>
    </w:p>
    <w:p>
      <w:pPr>
        <w:spacing w:before="300"/>
        <w:jc w:val="center"/>
      </w:pPr>
      <w:r>
        <w:rPr>
          <w:i/>
          <w:iCs/>
          <w:color w:val="595959"/>
          <w:sz w:val="20"/>
          <w:szCs w:val="20"/>
        </w:rPr>
        <w:t xml:space="preserve">— Fin del resumen de abril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2026-07-25T16:49:23.393Z</dcterms:created>
  <dcterms:modified xsi:type="dcterms:W3CDTF">2026-07-25T16:49:23.411Z</dcterms:modified>
</cp:coreProperties>
</file>

<file path=docProps/custom.xml><?xml version="1.0" encoding="utf-8"?>
<Properties xmlns="http://schemas.openxmlformats.org/officeDocument/2006/custom-properties" xmlns:vt="http://schemas.openxmlformats.org/officeDocument/2006/docPropsVTypes"/>
</file>