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Julio 2026</w:t>
      </w:r>
    </w:p>
    <w:p>
      <w:pPr>
        <w:spacing w:after="300"/>
        <w:jc w:val="center"/>
      </w:pPr>
      <w:r>
        <w:rPr>
          <w:color w:val="595959"/>
          <w:sz w:val="24"/>
          <w:szCs w:val="24"/>
        </w:rPr>
        <w:t xml:space="preserve">Claudia Pfeng González · Sesiones del 9 y del 17 de julio de 2026</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La sesión del 9/7 tiene un tramo largo dedicado a ayuda práctica con redes de contactos laborales y un fragmento de audio corrupto e ininteligible que no se utilizó. La sesión del 17/7 incluye un momento en que la terapeuta comparte con la familia de Claudia, como ejemplo destigmatizante, algunas de sus propias conductas de autoagresión leve (morderse, tirarse el pelo, rascarse); se documenta el hecho y su función pedagógica sin profundizar en el detalle, en línea con el manejo de contenido sensible ya aplicado en meses anteriores. Estas son las dos sesiones más recientes cargadas en el proyecto al momento de escribir este documento.</w:t>
      </w:r>
    </w:p>
    <w:p>
      <w:pPr>
        <w:pStyle w:val="Heading1"/>
        <w:pBdr>
          <w:bottom w:val="single" w:color="8A6D3B" w:sz="8" w:space="6"/>
        </w:pBdr>
        <w:spacing w:after="100" w:before="400"/>
      </w:pPr>
      <w:r>
        <w:rPr>
          <w:b/>
          <w:bCs/>
          <w:color w:val="1F3864"/>
          <w:sz w:val="30"/>
          <w:szCs w:val="30"/>
        </w:rPr>
        <w:t xml:space="preserve">Sesión — 9 de julio de 2026</w:t>
      </w:r>
    </w:p>
    <w:p>
      <w:pPr>
        <w:pStyle w:val="Heading2"/>
        <w:spacing w:after="140" w:before="260"/>
      </w:pPr>
      <w:r>
        <w:rPr>
          <w:b/>
          <w:bCs/>
          <w:color w:val="8A6D3B"/>
          <w:sz w:val="24"/>
          <w:szCs w:val="24"/>
        </w:rPr>
        <w:t xml:space="preserve">1. Ayuda práctica: redes de contactos para el trabajo de Rodrigo</w:t>
      </w:r>
    </w:p>
    <w:p>
      <w:pPr>
        <w:spacing w:after="180" w:line="300"/>
        <w:jc w:val="both"/>
      </w:pPr>
      <w:r>
        <w:rPr>
          <w:sz w:val="22"/>
          <w:szCs w:val="22"/>
        </w:rPr>
        <w:t xml:space="preserve">Buena parte de la sesión se dedica a que la terapeuta ayude a Claudia, paso a paso, a inscribirse en distintos grupos y chats profesionales de mujeres en el sector energético en Chile, con el fin de difundir el currículum de una amiga y explorar redes de contacto. Se trata de un tramo eminentemente práctico, con instrucciones concretas sobre plataformas y grupos, más que de trabajo terapéutico en sentido estricto.</w:t>
      </w:r>
    </w:p>
    <w:p>
      <w:pPr>
        <w:pStyle w:val="Heading2"/>
        <w:spacing w:after="140" w:before="260"/>
      </w:pPr>
      <w:r>
        <w:rPr>
          <w:b/>
          <w:bCs/>
          <w:color w:val="8A6D3B"/>
          <w:sz w:val="24"/>
          <w:szCs w:val="24"/>
        </w:rPr>
        <w:t xml:space="preserve">2. "No lo tratas bien porque es él": el vínculo con Francisco como espejo</w:t>
      </w:r>
    </w:p>
    <w:p>
      <w:pPr>
        <w:spacing w:after="180" w:line="300"/>
        <w:jc w:val="both"/>
      </w:pPr>
      <w:r>
        <w:rPr>
          <w:sz w:val="22"/>
          <w:szCs w:val="22"/>
        </w:rPr>
        <w:t xml:space="preserve">Se retoma el vínculo de pareja como ejemplo del principio ya trabajado del espejo: se le explica a Claudia que el trato amable o el enojo hacia Francisco no depende tanto de quién es él, sino de si permite "vaciar" una emoción propia o ser amable consigo misma a través de él. La terapeuta comparte, como propio, un ejercicio similar con su esposo Rodrigo: haber compartido con él las partes menos amables de sí misma y descubrir que el vínculo no solo resiste sino que se profundiza.</w:t>
      </w:r>
    </w:p>
    <w:p>
      <w:pPr>
        <w:spacing w:after="180" w:line="300"/>
        <w:jc w:val="both"/>
      </w:pPr>
      <w:r>
        <w:rPr>
          <w:sz w:val="22"/>
          <w:szCs w:val="22"/>
        </w:rPr>
        <w:t xml:space="preserve">Se advierte contra el "pensamiento positivo tóxico" como forma de evitar el conflicto real de pareja, y se anima a Claudia a permitirse tener con Francisco las conversaciones pendientes desde hace años, incluso con humor: </w:t>
      </w:r>
      <w:r>
        <w:rPr>
          <w:i/>
          <w:iCs/>
          <w:color w:val="1F3864"/>
          <w:sz w:val="22"/>
          <w:szCs w:val="22"/>
        </w:rPr>
        <w:t xml:space="preserve">«hay que abrirla con un copete, y reírse»</w:t>
      </w:r>
      <w:r>
        <w:rPr>
          <w:sz w:val="22"/>
          <w:szCs w:val="22"/>
        </w:rPr>
        <w:t xml:space="preserve">.</w:t>
      </w:r>
    </w:p>
    <w:p>
      <w:pPr>
        <w:pStyle w:val="Heading2"/>
        <w:spacing w:after="140" w:before="260"/>
      </w:pPr>
      <w:r>
        <w:rPr>
          <w:b/>
          <w:bCs/>
          <w:color w:val="8A6D3B"/>
          <w:sz w:val="24"/>
          <w:szCs w:val="24"/>
        </w:rPr>
        <w:t xml:space="preserve">3. Cierre: primeros pacientes en España, la tesis como proyecto compartido</w:t>
      </w:r>
    </w:p>
    <w:p>
      <w:pPr>
        <w:spacing w:after="180" w:line="300"/>
        <w:jc w:val="both"/>
      </w:pPr>
      <w:r>
        <w:rPr>
          <w:sz w:val="22"/>
          <w:szCs w:val="22"/>
        </w:rPr>
        <w:t xml:space="preserve">La terapeuta comparte que consiguió sus primeros pacientes en España gracias, en parte, a haberse animado a participar en redes de mujeres profesionales —el mismo tipo de red que ayudó a construir para Claudia esa tarde—. Cierra invitando a Claudia a "celebrar los pequeños milagros" cotidianos (tener trabajo, una cama, una familia) sin que eso se confunda con negar el cansancio real, y anticipando que el modelo de su tesis incluirá el caso de Claudia junto con el suyo propio, "porque ya demostramos que tenemos arte en común".</w:t>
      </w:r>
    </w:p>
    <w:p>
      <w:r>
        <w:br w:type="page"/>
      </w:r>
    </w:p>
    <w:p>
      <w:pPr>
        <w:pStyle w:val="Heading1"/>
        <w:pBdr>
          <w:bottom w:val="single" w:color="8A6D3B" w:sz="8" w:space="6"/>
        </w:pBdr>
        <w:spacing w:after="100" w:before="400"/>
      </w:pPr>
      <w:r>
        <w:rPr>
          <w:b/>
          <w:bCs/>
          <w:color w:val="1F3864"/>
          <w:sz w:val="30"/>
          <w:szCs w:val="30"/>
        </w:rPr>
        <w:t xml:space="preserve">Sesión — 17 de julio de 2026</w:t>
      </w:r>
    </w:p>
    <w:p>
      <w:pPr>
        <w:pStyle w:val="Heading2"/>
        <w:spacing w:after="140" w:before="260"/>
      </w:pPr>
      <w:r>
        <w:rPr>
          <w:b/>
          <w:bCs/>
          <w:color w:val="8A6D3B"/>
          <w:sz w:val="24"/>
          <w:szCs w:val="24"/>
        </w:rPr>
        <w:t xml:space="preserve">1. El post-operatorio complicado de Martín</w:t>
      </w:r>
    </w:p>
    <w:p>
      <w:pPr>
        <w:spacing w:after="180" w:line="300"/>
        <w:jc w:val="both"/>
      </w:pPr>
      <w:r>
        <w:rPr>
          <w:sz w:val="22"/>
          <w:szCs w:val="22"/>
        </w:rPr>
        <w:t xml:space="preserve">La sesión abre con el seguimiento médico de Martín: una infección en la zona operada que requirió nuevos antibióticos, el labio dormido que le provoca mordidas involuntarias, y varias aftas que le dificultan comer y hablar con normalidad. Claudia describe el ánimo de su hijo como bajo —"¿por qué a mí, siempre tengo que esperar lo peor?"— y cuenta que ya inició terapia psicológica, con una primera sesión que calificó como positiva.</w:t>
      </w:r>
    </w:p>
    <w:p>
      <w:pPr>
        <w:pStyle w:val="Heading2"/>
        <w:spacing w:after="140" w:before="260"/>
      </w:pPr>
      <w:r>
        <w:rPr>
          <w:b/>
          <w:bCs/>
          <w:color w:val="8A6D3B"/>
          <w:sz w:val="24"/>
          <w:szCs w:val="24"/>
        </w:rPr>
        <w:t xml:space="preserve">2. "Todas las generaciones se ahuevonan": normalizar sin minimizar</w:t>
      </w:r>
    </w:p>
    <w:p>
      <w:pPr>
        <w:spacing w:after="180" w:line="300"/>
        <w:jc w:val="both"/>
      </w:pPr>
      <w:r>
        <w:rPr>
          <w:sz w:val="22"/>
          <w:szCs w:val="22"/>
        </w:rPr>
        <w:t xml:space="preserve">Ante el malestar de Claudia por la dificultad de Francisco y de Martín para ver el conjunto de lo que tienen (colegio privado, casa, vacaciones pagadas), se ofrece una idea que busca aliviar sin justificar: dar por sentado lo que se tiene "no es un defecto tuyo ni de tu familia, es cómo funciona el ser humano en general", ilustrado con el ejemplo de un joven conocido que vive en condiciones mucho más precarias sin perder el ánimo. Se distingue esto explícitamente del pensamiento positivo tóxico: no se trata de negar el malestar, sino de ubicarlo en proporción.</w:t>
      </w:r>
    </w:p>
    <w:p>
      <w:pPr>
        <w:pStyle w:val="Heading2"/>
        <w:spacing w:after="140" w:before="260"/>
      </w:pPr>
      <w:r>
        <w:rPr>
          <w:b/>
          <w:bCs/>
          <w:color w:val="8A6D3B"/>
          <w:sz w:val="24"/>
          <w:szCs w:val="24"/>
        </w:rPr>
        <w:t xml:space="preserve">3. Hablar de lo que no se habla: destigmatizar en la mesa familiar</w:t>
      </w:r>
    </w:p>
    <w:p>
      <w:pPr>
        <w:spacing w:after="180" w:line="300"/>
        <w:jc w:val="both"/>
      </w:pPr>
      <w:r>
        <w:rPr>
          <w:sz w:val="22"/>
          <w:szCs w:val="22"/>
        </w:rPr>
        <w:t xml:space="preserve">Se anima a Claudia a llevar a la conversación familiar temas históricamente evitados —la violencia intrafamiliar de su propia infancia, las autolesiones— con la misma naturalidad con que se habla de cualquier otro tema, para no perpetuar el silencio que ella misma identifica como parte de su historia. La terapeuta comparte, como ejemplo de cómo destigmatizar estos temas en la propia casa, que ha hablado abiertamente con sus hijos de sus propias conductas de autoagresión leve, mostrando que reconocerlas no la hace una madre menos válida, sino más honesta.</w:t>
      </w:r>
    </w:p>
    <w:p>
      <w:pPr>
        <w:spacing w:after="180" w:line="300"/>
        <w:jc w:val="both"/>
      </w:pPr>
      <w:r>
        <w:rPr>
          <w:sz w:val="22"/>
          <w:szCs w:val="22"/>
        </w:rPr>
        <w:t xml:space="preserve">Se subraya la idea de que los patrones no verbalizados se heredan igual, o peor, que los verbalizados: </w:t>
      </w:r>
      <w:r>
        <w:rPr>
          <w:i/>
          <w:iCs/>
          <w:color w:val="1F3864"/>
          <w:sz w:val="22"/>
          <w:szCs w:val="22"/>
        </w:rPr>
        <w:t xml:space="preserve">«lo que se hereda no se hurta; la que implanta esas semillas nuevas eres tú»</w:t>
      </w:r>
      <w:r>
        <w:rPr>
          <w:sz w:val="22"/>
          <w:szCs w:val="22"/>
        </w:rPr>
        <w:t xml:space="preserve">.</w:t>
      </w:r>
    </w:p>
    <w:p>
      <w:pPr>
        <w:pStyle w:val="Heading2"/>
        <w:spacing w:after="140" w:before="260"/>
      </w:pPr>
      <w:r>
        <w:rPr>
          <w:b/>
          <w:bCs/>
          <w:color w:val="8A6D3B"/>
          <w:sz w:val="24"/>
          <w:szCs w:val="24"/>
        </w:rPr>
        <w:t xml:space="preserve">4. El miedo al futuro de Martín, y el límite a la narrativa de víctima</w:t>
      </w:r>
    </w:p>
    <w:p>
      <w:pPr>
        <w:spacing w:after="180" w:line="300"/>
        <w:jc w:val="both"/>
      </w:pPr>
      <w:r>
        <w:rPr>
          <w:sz w:val="22"/>
          <w:szCs w:val="22"/>
        </w:rPr>
        <w:t xml:space="preserve">Se trabaja el miedo de Martín respecto de su futuro económico y vocacional, mostrando a Claudia que ese miedo no depende de que ella se victimice por haberlo "contagiado": </w:t>
      </w:r>
      <w:r>
        <w:rPr>
          <w:i/>
          <w:iCs/>
          <w:color w:val="1F3864"/>
          <w:sz w:val="22"/>
          <w:szCs w:val="22"/>
        </w:rPr>
        <w:t xml:space="preserve">«él ya está en edad de decidir si lo piensa con susto o con alegría; tú solo eres un instrumento chiquitito dentro de un plan más grande»</w:t>
      </w:r>
      <w:r>
        <w:rPr>
          <w:sz w:val="22"/>
          <w:szCs w:val="22"/>
        </w:rPr>
        <w:t xml:space="preserve">. Se establece un límite explícito para dentro de la sesión misma: se acepta el desahogo y la queja como amigas fuera de la terapia, pero dentro del espacio terapéutico ya no se permite el relato en modo víctima sin cuestionarlo.</w:t>
      </w:r>
    </w:p>
    <w:p>
      <w:pPr>
        <w:spacing w:after="180" w:line="300"/>
        <w:jc w:val="both"/>
      </w:pPr>
      <w:r>
        <w:rPr>
          <w:sz w:val="22"/>
          <w:szCs w:val="22"/>
        </w:rPr>
        <w:t xml:space="preserve">Se ofrece como ejemplo el sistema de tareas y responsabilidades domésticas que la propia terapeuta aplica con sus hijos —turnos, consecuencias graduales, sin ceder ante la queja—, y se invita a Claudia a aplicar algo similar con Martín y Franny, incluyendo la exploración vocacional guiada con inteligencia artificial que ya empezó a practicar con su hijo.</w:t>
      </w:r>
    </w:p>
    <w:p>
      <w:pPr>
        <w:pStyle w:val="Heading2"/>
        <w:spacing w:after="140" w:before="260"/>
      </w:pPr>
      <w:r>
        <w:rPr>
          <w:b/>
          <w:bCs/>
          <w:color w:val="8A6D3B"/>
          <w:sz w:val="24"/>
          <w:szCs w:val="24"/>
        </w:rPr>
        <w:t xml:space="preserve">5. Cierre: identificar el personaje activo, y el antivirus del perdón</w:t>
      </w:r>
    </w:p>
    <w:p>
      <w:pPr>
        <w:spacing w:after="180" w:line="300"/>
        <w:jc w:val="both"/>
      </w:pPr>
      <w:r>
        <w:rPr>
          <w:sz w:val="22"/>
          <w:szCs w:val="22"/>
        </w:rPr>
        <w:t xml:space="preserve">Claudia reconoce, hacia el final, que en las noches de desvelo se activan simultáneamente los tres roles del triángulo ya trabajado —víctima, victimario y salvadora— respecto de la situación de Martín. Se le pregunta directamente cuál es el "antivirus" para ese patrón, y ella misma responde: el perdón. La sesión cierra con el compromiso explícito de practicarlo esa semana, sin usar el cansancio o la falta de tiempo como excusa para postergarlo.</w:t>
      </w:r>
    </w:p>
    <w:p>
      <w:pPr>
        <w:spacing w:before="300"/>
        <w:jc w:val="center"/>
      </w:pPr>
      <w:r>
        <w:rPr>
          <w:i/>
          <w:iCs/>
          <w:color w:val="595959"/>
          <w:sz w:val="20"/>
          <w:szCs w:val="20"/>
        </w:rPr>
        <w:t xml:space="preserve">— Fin del resumen de julio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2026-07-25T16:56:20.010Z</dcterms:created>
  <dcterms:modified xsi:type="dcterms:W3CDTF">2026-07-25T16:56:20.010Z</dcterms:modified>
</cp:coreProperties>
</file>

<file path=docProps/custom.xml><?xml version="1.0" encoding="utf-8"?>
<Properties xmlns="http://schemas.openxmlformats.org/officeDocument/2006/custom-properties" xmlns:vt="http://schemas.openxmlformats.org/officeDocument/2006/docPropsVTypes"/>
</file>