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Marzo 2026</w:t>
      </w:r>
    </w:p>
    <w:p>
      <w:pPr>
        <w:spacing w:after="300"/>
        <w:jc w:val="center"/>
      </w:pPr>
      <w:r>
        <w:rPr>
          <w:color w:val="595959"/>
          <w:sz w:val="24"/>
          <w:szCs w:val="24"/>
        </w:rPr>
        <w:t xml:space="preserve">Claudia Pfeng González · Sesiones del 6 y del 20 de marzo de 2026</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Ambas sesiones dan continuidad al tema del hermano de Claudia abierto en febrero, incluyendo un episodio de confrontación directa con el cuñado, Fernando. Se documenta a nivel de patrón y de manejo familiar/terapéutico, sin detalle explícito, siguiendo el mismo criterio aplicado en meses anteriores para contenido sensible.</w:t>
      </w:r>
    </w:p>
    <w:p>
      <w:pPr>
        <w:pStyle w:val="Heading1"/>
        <w:pBdr>
          <w:bottom w:val="single" w:color="8A6D3B" w:sz="8" w:space="6"/>
        </w:pBdr>
        <w:spacing w:after="100" w:before="400"/>
      </w:pPr>
      <w:r>
        <w:rPr>
          <w:b/>
          <w:bCs/>
          <w:color w:val="1F3864"/>
          <w:sz w:val="30"/>
          <w:szCs w:val="30"/>
        </w:rPr>
        <w:t xml:space="preserve">Sesión — 6 de marzo de 2026</w:t>
      </w:r>
    </w:p>
    <w:p>
      <w:pPr>
        <w:pStyle w:val="Heading2"/>
        <w:spacing w:after="140" w:before="260"/>
      </w:pPr>
      <w:r>
        <w:rPr>
          <w:b/>
          <w:bCs/>
          <w:color w:val="8A6D3B"/>
          <w:sz w:val="24"/>
          <w:szCs w:val="24"/>
        </w:rPr>
        <w:t xml:space="preserve">1. Apertura: los 18 años de Martín, y el mismo cumpleaños tres veces</w:t>
      </w:r>
    </w:p>
    <w:p>
      <w:pPr>
        <w:spacing w:after="180" w:line="300"/>
        <w:jc w:val="both"/>
      </w:pPr>
      <w:r>
        <w:rPr>
          <w:sz w:val="22"/>
          <w:szCs w:val="22"/>
        </w:rPr>
        <w:t xml:space="preserve">La sesión abre en medio de los preparativos del cumpleaños número 18 de Martín, que se celebrará en tres instancias distintas (familia, los cuatro en casa, y amigos), y con una anécdota paralela: el hijo de la terapeuta también celebra su cumpleaños en varias tandas ese mismo período. Se bromea sobre la abundancia de celebraciones como contraargumento a cualquier narrativa de "mala suerte" que los hijos pudieran sostener.</w:t>
      </w:r>
    </w:p>
    <w:p>
      <w:pPr>
        <w:pStyle w:val="Heading2"/>
        <w:spacing w:after="140" w:before="260"/>
      </w:pPr>
      <w:r>
        <w:rPr>
          <w:b/>
          <w:bCs/>
          <w:color w:val="8A6D3B"/>
          <w:sz w:val="24"/>
          <w:szCs w:val="24"/>
        </w:rPr>
        <w:t xml:space="preserve">2. La invitación pendiente al hermano: la personalidad que "se mantiene al margen"</w:t>
      </w:r>
    </w:p>
    <w:p>
      <w:pPr>
        <w:spacing w:after="180" w:line="300"/>
        <w:jc w:val="both"/>
      </w:pPr>
      <w:r>
        <w:rPr>
          <w:sz w:val="22"/>
          <w:szCs w:val="22"/>
        </w:rPr>
        <w:t xml:space="preserve">Claudia reconoce que no cumplió el objetivo que se había propuesto en la sesión anterior: sentarse a reflexionar y decidir con calma si invitar a su hermano Cristian al cumpleaños de Martín. Finalmente envió la invitación por el chat familiar casi por inercia, sin haber resuelto el tema de fondo. Nombra el impulso que se lo impidió: </w:t>
      </w:r>
      <w:r>
        <w:rPr>
          <w:i/>
          <w:iCs/>
          <w:color w:val="1F3864"/>
          <w:sz w:val="22"/>
          <w:szCs w:val="22"/>
        </w:rPr>
        <w:t xml:space="preserve">«mantente al margen, mantente al margen»</w:t>
      </w:r>
      <w:r>
        <w:rPr>
          <w:sz w:val="22"/>
          <w:szCs w:val="22"/>
        </w:rPr>
        <w:t xml:space="preserve">, una voz que la empuja a no remover nada del pasado.</w:t>
      </w:r>
    </w:p>
    <w:p>
      <w:pPr>
        <w:spacing w:after="180" w:line="300"/>
        <w:jc w:val="both"/>
      </w:pPr>
      <w:r>
        <w:rPr>
          <w:sz w:val="22"/>
          <w:szCs w:val="22"/>
        </w:rPr>
        <w:t xml:space="preserve">Se le pregunta directamente cómo distingue esa voz de sí misma, y Claudia responde con honestidad que no está segura: </w:t>
      </w:r>
      <w:r>
        <w:rPr>
          <w:i/>
          <w:iCs/>
          <w:color w:val="1F3864"/>
          <w:sz w:val="22"/>
          <w:szCs w:val="22"/>
        </w:rPr>
        <w:t xml:space="preserve">«un 80% creo que soy yo, pero a lo mejor el 20% restante es el correcto»</w:t>
      </w:r>
      <w:r>
        <w:rPr>
          <w:sz w:val="22"/>
          <w:szCs w:val="22"/>
        </w:rPr>
        <w:t xml:space="preserve">. Se le ofrece un criterio alternativo al del cuerpo —que ya reconoce como poco confiable, porque reacciona con la misma resistencia química ante cualquier confrontación— basado en decretos personales: decidir de antemano qué se quiere para la propia vida y sostenerlo pase lo que pase, sin necesidad de que nadie más conozca ese plan.</w:t>
      </w:r>
    </w:p>
    <w:p>
      <w:pPr>
        <w:pStyle w:val="Heading2"/>
        <w:spacing w:after="140" w:before="260"/>
      </w:pPr>
      <w:r>
        <w:rPr>
          <w:b/>
          <w:bCs/>
          <w:color w:val="8A6D3B"/>
          <w:sz w:val="24"/>
          <w:szCs w:val="24"/>
        </w:rPr>
        <w:t xml:space="preserve">3. Ayudar al lejano es más fácil que ayudar al propio</w:t>
      </w:r>
    </w:p>
    <w:p>
      <w:pPr>
        <w:spacing w:after="180" w:line="300"/>
        <w:jc w:val="both"/>
      </w:pPr>
      <w:r>
        <w:rPr>
          <w:sz w:val="22"/>
          <w:szCs w:val="22"/>
        </w:rPr>
        <w:t xml:space="preserve">Se ofrece una reflexión sobre por qué cuesta tanto más poner límites dentro de la propia familia que hacer caridad hacia desconocidos: quien ayuda a un extraño no está "metido en su historia", mientras que dentro de la familia cada gesto arrastra años de contexto acumulado. Se invita a Claudia a usar el autoconocimiento no como herramienta de autotortura, sino para reconocer sus propios límites reales, incluida su propia reactividad corporal frente a su familia de origen.</w:t>
      </w:r>
    </w:p>
    <w:p>
      <w:pPr>
        <w:pStyle w:val="Heading2"/>
        <w:spacing w:after="140" w:before="260"/>
      </w:pPr>
      <w:r>
        <w:rPr>
          <w:b/>
          <w:bCs/>
          <w:color w:val="8A6D3B"/>
          <w:sz w:val="24"/>
          <w:szCs w:val="24"/>
        </w:rPr>
        <w:t xml:space="preserve">4. El disco duro perdido: la ansiedad como "droga"</w:t>
      </w:r>
    </w:p>
    <w:p>
      <w:pPr>
        <w:spacing w:after="180" w:line="300"/>
        <w:jc w:val="both"/>
      </w:pPr>
      <w:r>
        <w:rPr>
          <w:sz w:val="22"/>
          <w:szCs w:val="22"/>
        </w:rPr>
        <w:t xml:space="preserve">Claudia relata un episodio de la semana: su disco duro externo, donde tenía guardada información de trabajo y de investigación, se dañó y durante una semana y media no supo si podría recuperarse. Describe el estado que le generó con detalle físico: limpiar la casa una y otra vez, moverse sin parar, seguido de una caída anímica marcada. Se nombra el patrón con crudeza: </w:t>
      </w:r>
      <w:r>
        <w:rPr>
          <w:i/>
          <w:iCs/>
          <w:color w:val="1F3864"/>
          <w:sz w:val="22"/>
          <w:szCs w:val="22"/>
        </w:rPr>
        <w:t xml:space="preserve">«hay una droguita dentro de la personalidad que dice que todo el conocimiento se fue a la mierda»</w:t>
      </w:r>
      <w:r>
        <w:rPr>
          <w:sz w:val="22"/>
          <w:szCs w:val="22"/>
        </w:rPr>
        <w:t xml:space="preserve">, y se contrasta con noticias recientes en la vida de Claudia —la muerte de una adolescente conocida, una amiga con cáncer terminal— para mostrar la desproporción entre la reacción y el hecho real (finalmente, la información se recuperó).</w:t>
      </w:r>
    </w:p>
    <w:p>
      <w:pPr>
        <w:pStyle w:val="Heading2"/>
        <w:spacing w:after="140" w:before="260"/>
      </w:pPr>
      <w:r>
        <w:rPr>
          <w:b/>
          <w:bCs/>
          <w:color w:val="8A6D3B"/>
          <w:sz w:val="24"/>
          <w:szCs w:val="24"/>
        </w:rPr>
        <w:t xml:space="preserve">5. La propia terapeuta comparte: la venganza que aún vive en ella</w:t>
      </w:r>
    </w:p>
    <w:p>
      <w:pPr>
        <w:spacing w:after="180" w:line="300"/>
        <w:jc w:val="both"/>
      </w:pPr>
      <w:r>
        <w:rPr>
          <w:sz w:val="22"/>
          <w:szCs w:val="22"/>
        </w:rPr>
        <w:t xml:space="preserve">En un tramo de autorrevelación notable, la terapeuta cuenta que dos antiguos colegas —a quienes nombra— se portaron muy mal con ella en un trabajo anterior, y que su patrón ante el conflicto ha sido siempre aguantar hasta un límite y luego irse, para no "hacer pedazos" a quien la dañó: </w:t>
      </w:r>
      <w:r>
        <w:rPr>
          <w:i/>
          <w:iCs/>
          <w:color w:val="1F3864"/>
          <w:sz w:val="22"/>
          <w:szCs w:val="22"/>
        </w:rPr>
        <w:t xml:space="preserve">«la venganza es algo muy fuerte en mí... para no llevar a cabo ese crimen, la Pepa se va»</w:t>
      </w:r>
      <w:r>
        <w:rPr>
          <w:sz w:val="22"/>
          <w:szCs w:val="22"/>
        </w:rPr>
        <w:t xml:space="preserve">. Comparte también que una vez demandó a una empresa que le cobró un dinero que consideraba injusto.</w:t>
      </w:r>
    </w:p>
    <w:p>
      <w:pPr>
        <w:pStyle w:val="Heading2"/>
        <w:spacing w:after="140" w:before="260"/>
      </w:pPr>
      <w:r>
        <w:rPr>
          <w:b/>
          <w:bCs/>
          <w:color w:val="8A6D3B"/>
          <w:sz w:val="24"/>
          <w:szCs w:val="24"/>
        </w:rPr>
        <w:t xml:space="preserve">6. Acotar el límite: solo los hijos</w:t>
      </w:r>
    </w:p>
    <w:p>
      <w:pPr>
        <w:spacing w:after="180" w:line="300"/>
        <w:jc w:val="both"/>
      </w:pPr>
      <w:r>
        <w:rPr>
          <w:sz w:val="22"/>
          <w:szCs w:val="22"/>
        </w:rPr>
        <w:t xml:space="preserve">Se cierra el tema del hermano con una pregunta orientadora: ¿a quién le corresponde a Claudia proteger activamente, y a quién no? Se descarta que deba defender a su hermana adulta o a su madre adulta —cada una responsable de sus propias decisiones— pero se afirma con claridad que sus hijos sí son su límite indelegable: </w:t>
      </w:r>
      <w:r>
        <w:rPr>
          <w:i/>
          <w:iCs/>
          <w:color w:val="1F3864"/>
          <w:sz w:val="22"/>
          <w:szCs w:val="22"/>
        </w:rPr>
        <w:t xml:space="preserve">«¿cuál es tu límite para meterte? Tus niños»</w:t>
      </w:r>
      <w:r>
        <w:rPr>
          <w:sz w:val="22"/>
          <w:szCs w:val="22"/>
        </w:rPr>
        <w:t xml:space="preserve">. Acotar así el problema, se propone, lo vuelve más manejable de practicar que intentar resolver toda la dinámica familiar de una vez.</w:t>
      </w:r>
    </w:p>
    <w:p>
      <w:r>
        <w:br w:type="page"/>
      </w:r>
    </w:p>
    <w:p>
      <w:pPr>
        <w:pStyle w:val="Heading1"/>
        <w:pBdr>
          <w:bottom w:val="single" w:color="8A6D3B" w:sz="8" w:space="6"/>
        </w:pBdr>
        <w:spacing w:after="100" w:before="400"/>
      </w:pPr>
      <w:r>
        <w:rPr>
          <w:b/>
          <w:bCs/>
          <w:color w:val="1F3864"/>
          <w:sz w:val="30"/>
          <w:szCs w:val="30"/>
        </w:rPr>
        <w:t xml:space="preserve">Sesión — 20 de marzo de 2026</w:t>
      </w:r>
    </w:p>
    <w:p>
      <w:pPr>
        <w:pStyle w:val="Heading2"/>
        <w:spacing w:after="140" w:before="260"/>
      </w:pPr>
      <w:r>
        <w:rPr>
          <w:b/>
          <w:bCs/>
          <w:color w:val="8A6D3B"/>
          <w:sz w:val="24"/>
          <w:szCs w:val="24"/>
        </w:rPr>
        <w:t xml:space="preserve">1. Apertura: la base de datos de la tesis</w:t>
      </w:r>
    </w:p>
    <w:p>
      <w:pPr>
        <w:spacing w:after="180" w:line="300"/>
        <w:jc w:val="both"/>
      </w:pPr>
      <w:r>
        <w:rPr>
          <w:sz w:val="22"/>
          <w:szCs w:val="22"/>
        </w:rPr>
        <w:t xml:space="preserve">La sesión transcurre mientras la terapeuta camina hacia su auto, compartiendo en vivo el avance de su base de datos de pacientes para la tesis: más de 250 pacientes registrados desde 2019, 79 de ellos con más de 20 sesiones, y algunos que superan las 124 sesiones. Explica cómo transcribió talleres grabados y usó inteligencia artificial, con instrucciones específicas ("prompts"), para generar fichas técnicas de cada taller.</w:t>
      </w:r>
    </w:p>
    <w:p>
      <w:pPr>
        <w:pStyle w:val="Heading2"/>
        <w:spacing w:after="140" w:before="260"/>
      </w:pPr>
      <w:r>
        <w:rPr>
          <w:b/>
          <w:bCs/>
          <w:color w:val="8A6D3B"/>
          <w:sz w:val="24"/>
          <w:szCs w:val="24"/>
        </w:rPr>
        <w:t xml:space="preserve">2. La escalada del conflicto familiar: sale del círculo íntimo</w:t>
      </w:r>
    </w:p>
    <w:p>
      <w:pPr>
        <w:spacing w:after="180" w:line="300"/>
        <w:jc w:val="both"/>
      </w:pPr>
      <w:r>
        <w:rPr>
          <w:sz w:val="22"/>
          <w:szCs w:val="22"/>
        </w:rPr>
        <w:t xml:space="preserve">Claudia relata que el episodio del hermano trabajado en febrero tuvo una consecuencia nueva: por primera vez, el conflicto salió del círculo estrictamente materno —ella, su madre y su hermana— e involucró directamente a su cuñado Fernando, presente en el enfrentamiento. Su hermana Moni decidió que ella y sus hijos no volverán a almorzar en casa de la madre mientras esté el hermano, al menos por un par de años. Además, la hija adulta del hermano, Isidora, se acercó a Claudia preocupada por el ambiente familiar, coincidiendo en que insistir con su padre "no saca nada": </w:t>
      </w:r>
      <w:r>
        <w:rPr>
          <w:i/>
          <w:iCs/>
          <w:color w:val="1F3864"/>
          <w:sz w:val="22"/>
          <w:szCs w:val="22"/>
        </w:rPr>
        <w:t xml:space="preserve">«con todas las terapias que me he hecho, ya asumí que no saco absolutamente nada»</w:t>
      </w:r>
      <w:r>
        <w:rPr>
          <w:sz w:val="22"/>
          <w:szCs w:val="22"/>
        </w:rPr>
        <w:t xml:space="preserve">.</w:t>
      </w:r>
    </w:p>
    <w:p>
      <w:pPr>
        <w:pStyle w:val="Heading2"/>
        <w:spacing w:after="140" w:before="260"/>
      </w:pPr>
      <w:r>
        <w:rPr>
          <w:b/>
          <w:bCs/>
          <w:color w:val="8A6D3B"/>
          <w:sz w:val="24"/>
          <w:szCs w:val="24"/>
        </w:rPr>
        <w:t xml:space="preserve">3. "Mi mamá también está enferma de la cabeza"</w:t>
      </w:r>
    </w:p>
    <w:p>
      <w:pPr>
        <w:spacing w:after="180" w:line="300"/>
        <w:jc w:val="both"/>
      </w:pPr>
      <w:r>
        <w:rPr>
          <w:sz w:val="22"/>
          <w:szCs w:val="22"/>
        </w:rPr>
        <w:t xml:space="preserve">Claudia llega, en el curso de la propia sesión, a una formulación nueva sobre su madre: que después de tantos años sin poner límites al hijo, terminó desarrollando una suerte de ceguera protectora frente a la gravedad de lo que ocurre —</w:t>
      </w:r>
      <w:r>
        <w:rPr>
          <w:i/>
          <w:iCs/>
          <w:color w:val="1F3864"/>
          <w:sz w:val="22"/>
          <w:szCs w:val="22"/>
        </w:rPr>
        <w:t xml:space="preserve">«mi mami está enferma también de la cabeza... ya no ve lo que está pasando»</w:t>
      </w:r>
      <w:r>
        <w:rPr>
          <w:sz w:val="22"/>
          <w:szCs w:val="22"/>
        </w:rPr>
        <w:t xml:space="preserve">—, minimizando episodios que Claudia describe como muy graves. Se valida la observación sin que ello suponga absolver la falta de acción de la madre.</w:t>
      </w:r>
    </w:p>
    <w:p>
      <w:pPr>
        <w:pStyle w:val="Heading2"/>
        <w:spacing w:after="140" w:before="260"/>
      </w:pPr>
      <w:r>
        <w:rPr>
          <w:b/>
          <w:bCs/>
          <w:color w:val="8A6D3B"/>
          <w:sz w:val="24"/>
          <w:szCs w:val="24"/>
        </w:rPr>
        <w:t xml:space="preserve">4. El mensaje que no busca convencer, sino cerrar el ciclo</w:t>
      </w:r>
    </w:p>
    <w:p>
      <w:pPr>
        <w:spacing w:after="180" w:line="300"/>
        <w:jc w:val="both"/>
      </w:pPr>
      <w:r>
        <w:rPr>
          <w:sz w:val="22"/>
          <w:szCs w:val="22"/>
        </w:rPr>
        <w:t xml:space="preserve">Claudia quiere escribirle a su hermano pidiéndole que deje en paz a Moni "porque es la que más ha hecho por todos nosotros", y se le hace notar que ese argumento no cambiará nada —es el mismo tipo de discurso que la familia usa en sentido inverso para justificar al hermano—. Se le ayuda a reformular el mensaje con un objetivo distinto: no convencer a Cristian de nada, sino fijar una consecuencia concreta (desarmar el chat familiar si los mensajes hirientes continúan) y quedar en paz consigo misma habiendo defendido a su hermana, independientemente de la respuesta que reciba.</w:t>
      </w:r>
    </w:p>
    <w:p>
      <w:pPr>
        <w:spacing w:before="300"/>
        <w:jc w:val="center"/>
      </w:pPr>
      <w:r>
        <w:rPr>
          <w:i/>
          <w:iCs/>
          <w:color w:val="595959"/>
          <w:sz w:val="20"/>
          <w:szCs w:val="20"/>
        </w:rPr>
        <w:t xml:space="preserve">— Fin del resumen de marzo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2026-07-25T14:32:19.648Z</dcterms:created>
  <dcterms:modified xsi:type="dcterms:W3CDTF">2026-07-25T14:32:19.648Z</dcterms:modified>
</cp:coreProperties>
</file>

<file path=docProps/custom.xml><?xml version="1.0" encoding="utf-8"?>
<Properties xmlns="http://schemas.openxmlformats.org/officeDocument/2006/custom-properties" xmlns:vt="http://schemas.openxmlformats.org/officeDocument/2006/docPropsVTypes"/>
</file>