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Tareas cronológicas · Bloque Julio 2026</w:t>
      </w:r>
    </w:p>
    <w:p>
      <w:r>
        <w:rPr>
          <w:i/>
          <w:iCs/>
        </w:rPr>
        <w:t xml:space="preserve">Paciente: Claudia Pfeng González · SCA — Alma, Escriba del SCA</w:t>
      </w:r>
    </w:p>
    <w:p/>
    <w:p>
      <w:r>
        <w:rPr>
          <w:i/>
          <w:iCs/>
          <w:sz w:val="20"/>
          <w:szCs w:val="20"/>
        </w:rPr>
        <w:t xml:space="preserve">Nota metodológica: 2 sesiones (09·07·26 y 17·07·26), tareas cosechadas directamente de las transcripciones. Ambas sesiones continúan en el contexto de la recuperación de Martín tras la reoperación. Se marcan varias continuidades directas con fractales trabajados desde abril de 2025 (autocastigo/lenguaje corporal, sobreprotección heredada, evitación de temas tabú). Este es el último bloque del período documentado (2025-2026, 35 sesiones en total).</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gridCol w:w="6000"/>
      </w:tblGrid>
      <w:tr>
        <w:tc>
          <w:tcPr>
            <w:tcW w:type="dxa" w:w="2200"/>
            <w:shd w:fill="2F5496" w:val="clear"/>
            <w:vAlign w:val="center"/>
          </w:tcPr>
          <w:p>
            <w:r>
              <w:rPr>
                <w:b/>
                <w:bCs/>
                <w:color w:val="FFFFFF"/>
              </w:rPr>
              <w:t xml:space="preserve">Fecha / Sesión</w:t>
            </w:r>
          </w:p>
        </w:tc>
        <w:tc>
          <w:tcPr>
            <w:tcW w:type="dxa" w:w="6200"/>
            <w:shd w:fill="2F5496" w:val="clear"/>
            <w:vAlign w:val="center"/>
          </w:tcPr>
          <w:p>
            <w:r>
              <w:rPr>
                <w:b/>
                <w:bCs/>
                <w:color w:val="FFFFFF"/>
              </w:rPr>
              <w:t xml:space="preserve">Tarea (cosechada de transcripción)</w:t>
            </w:r>
          </w:p>
        </w:tc>
        <w:tc>
          <w:tcPr>
            <w:tcW w:type="dxa" w:w="6000"/>
            <w:shd w:fill="2F5496" w:val="clear"/>
            <w:vAlign w:val="center"/>
          </w:tcPr>
          <w:p>
            <w:r>
              <w:rPr>
                <w:b/>
                <w:bCs/>
                <w:color w:val="FFFFFF"/>
              </w:rPr>
              <w:t xml:space="preserve">Material Pilar I asociado y justificación</w:t>
            </w:r>
          </w:p>
        </w:tc>
      </w:tr>
      <w:tr>
        <w:tc>
          <w:tcPr>
            <w:tcW w:type="dxa" w:w="2200"/>
            <w:vAlign w:val="center"/>
          </w:tcPr>
          <w:p>
            <w:r>
              <w:t xml:space="preserve">09·07·26</w:t>
            </w:r>
          </w:p>
        </w:tc>
        <w:tc>
          <w:tcPr>
            <w:tcW w:type="dxa" w:w="6200"/>
            <w:vAlign w:val="center"/>
          </w:tcPr>
          <w:p>
            <w:r>
              <w:t xml:space="preserve">Practicar la 'cara de póker' de forma consciente y estratégica frente a Martín en los espacios médicos (no como ocultamiento sino como herramienta de contención), reconociendo honestamente cuándo la usa para calmar su propia ansiedad y no la de él.</w:t>
            </w:r>
          </w:p>
        </w:tc>
        <w:tc>
          <w:tcPr>
            <w:tcW w:type="dxa" w:w="6000"/>
            <w:vAlign w:val="center"/>
          </w:tcPr>
          <w:p>
            <w:r>
              <w:t xml:space="preserve">Taller T6 · Salón de Espejos. Guía 6 · Los pecados capitales — la máscara reconocida como herramienta, no como engaño a sí misma.</w:t>
            </w:r>
          </w:p>
        </w:tc>
      </w:tr>
      <w:tr>
        <w:tc>
          <w:tcPr>
            <w:tcW w:type="dxa" w:w="2200"/>
            <w:vAlign w:val="center"/>
          </w:tcPr>
          <w:p>
            <w:r>
              <w:t xml:space="preserve">09·07·26</w:t>
            </w:r>
          </w:p>
        </w:tc>
        <w:tc>
          <w:tcPr>
            <w:tcW w:type="dxa" w:w="6200"/>
            <w:vAlign w:val="center"/>
          </w:tcPr>
          <w:p>
            <w:r>
              <w:t xml:space="preserve">Dejar de hablar por Martín en las consultas médicas y darle espacio para que exprese directamente sus propias dudas al doctor, sin intermediar todo.</w:t>
            </w:r>
          </w:p>
        </w:tc>
        <w:tc>
          <w:tcPr>
            <w:tcW w:type="dxa" w:w="6000"/>
            <w:vAlign w:val="center"/>
          </w:tcPr>
          <w:p>
            <w:r>
              <w:t xml:space="preserve">Taller T1 · Ser Hijo/Hija — soltar el rol de intermediaria/protectora excesiva.</w:t>
            </w:r>
          </w:p>
        </w:tc>
      </w:tr>
      <w:tr>
        <w:tc>
          <w:tcPr>
            <w:tcW w:type="dxa" w:w="2200"/>
            <w:vAlign w:val="center"/>
          </w:tcPr>
          <w:p>
            <w:r>
              <w:t xml:space="preserve">09·07·26</w:t>
            </w:r>
          </w:p>
        </w:tc>
        <w:tc>
          <w:tcPr>
            <w:tcW w:type="dxa" w:w="6200"/>
            <w:vAlign w:val="center"/>
          </w:tcPr>
          <w:p>
            <w:r>
              <w:t xml:space="preserve">Reconocer y romper conscientemente el patrón de sobreproteger a Martín en sus rabietas o quejas (verbalizado en sesión como 'no quiero formar un Cristián'), evitando repetir con él la sobreprotección que ve en su madre hacia su hermano.</w:t>
            </w:r>
          </w:p>
        </w:tc>
        <w:tc>
          <w:tcPr>
            <w:tcW w:type="dxa" w:w="6000"/>
            <w:vAlign w:val="center"/>
          </w:tcPr>
          <w:p>
            <w:r>
              <w:t xml:space="preserve">Taller T1 · Ser Hijo/Hija — fractal transgeneracional nombrado explícitamente por la propia Claudia.</w:t>
            </w:r>
          </w:p>
        </w:tc>
      </w:tr>
      <w:tr>
        <w:tc>
          <w:tcPr>
            <w:tcW w:type="dxa" w:w="2200"/>
            <w:vAlign w:val="center"/>
          </w:tcPr>
          <w:p>
            <w:r>
              <w:t xml:space="preserve">09·07·26</w:t>
            </w:r>
          </w:p>
        </w:tc>
        <w:tc>
          <w:tcPr>
            <w:tcW w:type="dxa" w:w="6200"/>
            <w:vAlign w:val="center"/>
          </w:tcPr>
          <w:p>
            <w:r>
              <w:t xml:space="preserve">Sostener un espacio propio regular para 'vaciar' rabia, angustia y pena (el chat con Pepa u otro canal), en vez de mantener la máscara de contención todo el tiempo sin descarga.</w:t>
            </w:r>
          </w:p>
        </w:tc>
        <w:tc>
          <w:tcPr>
            <w:tcW w:type="dxa" w:w="6000"/>
            <w:vAlign w:val="center"/>
          </w:tcPr>
          <w:p>
            <w:r>
              <w:t xml:space="preserve">Guía 1 · Terminar con la compulsión de sanar — la necesidad de un espacio de descarga como parte del proceso, no como debilidad.</w:t>
            </w:r>
          </w:p>
        </w:tc>
      </w:tr>
      <w:tr>
        <w:tc>
          <w:tcPr>
            <w:tcW w:type="dxa" w:w="2200"/>
            <w:vAlign w:val="center"/>
          </w:tcPr>
          <w:p>
            <w:r>
              <w:t xml:space="preserve">17·07·26</w:t>
            </w:r>
          </w:p>
        </w:tc>
        <w:tc>
          <w:tcPr>
            <w:tcW w:type="dxa" w:w="6200"/>
            <w:vAlign w:val="center"/>
          </w:tcPr>
          <w:p>
            <w:r>
              <w:t xml:space="preserve">Practicar el 'antivirus' del perdón inventando frases propias de autoperdón concretas esta semana (ej. 'me perdono por miedosa', 'me perdono por pensar cosas feas'), enfocándose solo en esa práctica.</w:t>
            </w:r>
          </w:p>
        </w:tc>
        <w:tc>
          <w:tcPr>
            <w:tcW w:type="dxa" w:w="6000"/>
            <w:vAlign w:val="center"/>
          </w:tcPr>
          <w:p>
            <w:r>
              <w:t xml:space="preserve">Guía 1 · Terminar con la compulsión de sanar — el perdón como práctica activa y personalizada.</w:t>
            </w:r>
          </w:p>
        </w:tc>
      </w:tr>
      <w:tr>
        <w:tc>
          <w:tcPr>
            <w:tcW w:type="dxa" w:w="2200"/>
            <w:vAlign w:val="center"/>
          </w:tcPr>
          <w:p>
            <w:r>
              <w:t xml:space="preserve">17·07·26</w:t>
            </w:r>
          </w:p>
        </w:tc>
        <w:tc>
          <w:tcPr>
            <w:tcW w:type="dxa" w:w="6200"/>
            <w:vAlign w:val="center"/>
          </w:tcPr>
          <w:p>
            <w:r>
              <w:t xml:space="preserve">Practicar usar directamente las palabras 'violencia' y 'abuso' sin evitarlas, como ejercicio de desensibilización del lenguaje que le cuesta pronunciar.</w:t>
            </w:r>
          </w:p>
        </w:tc>
        <w:tc>
          <w:tcPr>
            <w:tcW w:type="dxa" w:w="6000"/>
            <w:vAlign w:val="center"/>
          </w:tcPr>
          <w:p>
            <w:r>
              <w:t xml:space="preserve">Guía 4 · Cómo se transmite el trauma sin palabras. Taller T7 · Crímenes sin resolver.</w:t>
            </w:r>
          </w:p>
        </w:tc>
      </w:tr>
      <w:tr>
        <w:tc>
          <w:tcPr>
            <w:tcW w:type="dxa" w:w="2200"/>
            <w:vAlign w:val="center"/>
          </w:tcPr>
          <w:p>
            <w:r>
              <w:t xml:space="preserve">17·07·26</w:t>
            </w:r>
          </w:p>
        </w:tc>
        <w:tc>
          <w:tcPr>
            <w:tcW w:type="dxa" w:w="6200"/>
            <w:vAlign w:val="center"/>
          </w:tcPr>
          <w:p>
            <w:r>
              <w:t xml:space="preserve">Dejar de evitar como tema tabú lo relacionado con la autolesión de Franny; nombrarlo directamente en casa en vez de tratarlo como algo innombrable.</w:t>
            </w:r>
          </w:p>
        </w:tc>
        <w:tc>
          <w:tcPr>
            <w:tcW w:type="dxa" w:w="6000"/>
            <w:vAlign w:val="center"/>
          </w:tcPr>
          <w:p>
            <w:r>
              <w:t xml:space="preserve">Guía 4 · Cómo se transmite el trauma sin palabras. Continuidad directa del 26·12·25.</w:t>
            </w:r>
          </w:p>
        </w:tc>
      </w:tr>
      <w:tr>
        <w:tc>
          <w:tcPr>
            <w:tcW w:type="dxa" w:w="2200"/>
            <w:vAlign w:val="center"/>
          </w:tcPr>
          <w:p>
            <w:r>
              <w:t xml:space="preserve">17·07·26</w:t>
            </w:r>
          </w:p>
        </w:tc>
        <w:tc>
          <w:tcPr>
            <w:tcW w:type="dxa" w:w="6200"/>
            <w:vAlign w:val="center"/>
          </w:tcPr>
          <w:p>
            <w:r>
              <w:t xml:space="preserve">Poner un límite de tiempo/contención a las quejas repetidas de Martín (ej. 'quéjate de tal hora a tal hora') en vez de sostenerlas sin límite, para no perpetuar en un hijo mayor de edad un rol de necesidad permanente.</w:t>
            </w:r>
          </w:p>
        </w:tc>
        <w:tc>
          <w:tcPr>
            <w:tcW w:type="dxa" w:w="6000"/>
            <w:vAlign w:val="center"/>
          </w:tcPr>
          <w:p>
            <w:r>
              <w:t xml:space="preserve">Taller T1 · Ser Hijo/Hija. Continuidad directa de la reflexión del 09·07·26 sobre 'no formar un Cristián'.</w:t>
            </w:r>
          </w:p>
        </w:tc>
      </w:tr>
      <w:tr>
        <w:tc>
          <w:tcPr>
            <w:tcW w:type="dxa" w:w="2200"/>
            <w:vAlign w:val="center"/>
          </w:tcPr>
          <w:p>
            <w:r>
              <w:t xml:space="preserve">17·07·26</w:t>
            </w:r>
          </w:p>
        </w:tc>
        <w:tc>
          <w:tcPr>
            <w:tcW w:type="dxa" w:w="6200"/>
            <w:vAlign w:val="center"/>
          </w:tcPr>
          <w:p>
            <w:r>
              <w:t xml:space="preserve">Repartir con Francisco el desgaste emocional de sostener los límites familiares ya decididos en conjunto (ej. asistencia a misa, horarios), reconociendo que también puede pedirle a él la mitad de esa carga.</w:t>
            </w:r>
          </w:p>
        </w:tc>
        <w:tc>
          <w:tcPr>
            <w:tcW w:type="dxa" w:w="6000"/>
            <w:vAlign w:val="center"/>
          </w:tcPr>
          <w:p>
            <w:r>
              <w:t xml:space="preserve">Guía 2 · El virus de la víctima-victimario-salvador — salir del rol de única sostenedora.</w:t>
            </w:r>
          </w:p>
        </w:tc>
      </w:tr>
      <w:tr>
        <w:tc>
          <w:tcPr>
            <w:tcW w:type="dxa" w:w="2200"/>
            <w:vAlign w:val="center"/>
          </w:tcPr>
          <w:p>
            <w:r>
              <w:t xml:space="preserve">17·07·26</w:t>
            </w:r>
          </w:p>
        </w:tc>
        <w:tc>
          <w:tcPr>
            <w:tcW w:type="dxa" w:w="6200"/>
            <w:vAlign w:val="center"/>
          </w:tcPr>
          <w:p>
            <w:r>
              <w:t xml:space="preserve">Dejar de posicionarse como 'madre víctima' frente al miedo de Martín hacia el futuro económico, reconociendo que es él quien decide cómo vivir ese miedo y que ella no es responsable última de su desenlace.</w:t>
            </w:r>
          </w:p>
        </w:tc>
        <w:tc>
          <w:tcPr>
            <w:tcW w:type="dxa" w:w="6000"/>
            <w:vAlign w:val="center"/>
          </w:tcPr>
          <w:p>
            <w:r>
              <w:t xml:space="preserve">Guía 2 · Víctima-Victimario-Salvador. Taller T2 · Nuevo Arquetipo.</w:t>
            </w:r>
          </w:p>
        </w:tc>
      </w:tr>
      <w:tr>
        <w:tc>
          <w:tcPr>
            <w:tcW w:type="dxa" w:w="2200"/>
            <w:vAlign w:val="center"/>
          </w:tcPr>
          <w:p>
            <w:r>
              <w:t xml:space="preserve">17·07·26</w:t>
            </w:r>
          </w:p>
        </w:tc>
        <w:tc>
          <w:tcPr>
            <w:tcW w:type="dxa" w:w="6200"/>
            <w:vAlign w:val="center"/>
          </w:tcPr>
          <w:p>
            <w:r>
              <w:t xml:space="preserve">Cuidar el propio descanso físico de forma práctica y sin culpa (ej. cambiarse de habitación si el ronquido de Francisco no la deja dormir) en vez de sostener el malestar en silencio.</w:t>
            </w:r>
          </w:p>
        </w:tc>
        <w:tc>
          <w:tcPr>
            <w:tcW w:type="dxa" w:w="6000"/>
            <w:vAlign w:val="center"/>
          </w:tcPr>
          <w:p>
            <w:r>
              <w:t xml:space="preserve">Guía 5 · El laberinto que tú mismo construiste — hacerse cargo del propio bienestar sin dramatismo.</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2026-07-25T17:05:57.907Z</dcterms:created>
  <dcterms:modified xsi:type="dcterms:W3CDTF">2026-07-25T17:05:57.921Z</dcterms:modified>
</cp:coreProperties>
</file>

<file path=docProps/custom.xml><?xml version="1.0" encoding="utf-8"?>
<Properties xmlns="http://schemas.openxmlformats.org/officeDocument/2006/custom-properties" xmlns:vt="http://schemas.openxmlformats.org/officeDocument/2006/docPropsVTypes"/>
</file>