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Julio 2025</w:t>
      </w:r>
    </w:p>
    <w:p>
      <w:pPr>
        <w:spacing w:after="300"/>
        <w:jc w:val="center"/>
      </w:pPr>
      <w:r>
        <w:rPr>
          <w:color w:val="595959"/>
          <w:sz w:val="24"/>
          <w:szCs w:val="24"/>
        </w:rPr>
        <w:t xml:space="preserve">Claudia Pfeng González · Sesiones del 11, 18 y 26 de julio de 2025</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Donde la diarización de la transcripción original es imprecisa, el resumen lo señala en vez de asumir quién habla. Este mes la terapeuta comparte, con más profundidad que en meses anteriores, episodios de su propia historia familiar (la separación de sus padres, la crisis vivida tras su mudanza a España, el desempleo de su esposo Rodrigo); se documentan solo cuando forman parte directa del intercambio con Claudia, ya que en un tramo de la sesión del 11/7 es la propia terapeuta quien pide ayuda concreta a Claudia.</w:t>
      </w:r>
    </w:p>
    <w:p>
      <w:pPr>
        <w:pStyle w:val="Heading1"/>
        <w:pBdr>
          <w:bottom w:val="single" w:color="8A6D3B" w:sz="8" w:space="6"/>
        </w:pBdr>
        <w:spacing w:after="100" w:before="400"/>
      </w:pPr>
      <w:r>
        <w:rPr>
          <w:b/>
          <w:bCs/>
          <w:color w:val="1F3864"/>
          <w:sz w:val="30"/>
          <w:szCs w:val="30"/>
        </w:rPr>
        <w:t xml:space="preserve">Sesión — 11 de julio de 2025</w:t>
      </w:r>
    </w:p>
    <w:p>
      <w:pPr>
        <w:pStyle w:val="Heading2"/>
        <w:spacing w:after="140" w:before="260"/>
      </w:pPr>
      <w:r>
        <w:rPr>
          <w:b/>
          <w:bCs/>
          <w:color w:val="8A6D3B"/>
          <w:sz w:val="24"/>
          <w:szCs w:val="24"/>
        </w:rPr>
        <w:t xml:space="preserve">1. Apertura: la llamada de un headhunter</w:t>
      </w:r>
    </w:p>
    <w:p>
      <w:pPr>
        <w:spacing w:after="180" w:line="300"/>
        <w:jc w:val="both"/>
      </w:pPr>
      <w:r>
        <w:rPr>
          <w:sz w:val="22"/>
          <w:szCs w:val="22"/>
        </w:rPr>
        <w:t xml:space="preserve">Claudia cuenta que la contactaron para ofrecerle un cargo de jefatura en otra empresa de energía, similar al que tuvo antes en Colbún. Su primera reacción es de lealtad al ciclo que está cerrando en su empresa actual: </w:t>
      </w:r>
      <w:r>
        <w:rPr>
          <w:i/>
          <w:iCs/>
          <w:color w:val="1F3864"/>
          <w:sz w:val="22"/>
          <w:szCs w:val="22"/>
        </w:rPr>
        <w:t xml:space="preserve">«siento que si me voy es como que no voy a haber cumplido nada... como que voy a dejar todo a medias»</w:t>
      </w:r>
      <w:r>
        <w:rPr>
          <w:sz w:val="22"/>
          <w:szCs w:val="22"/>
        </w:rPr>
        <w:t xml:space="preserve">. Reconoce, sin embargo, que decidió ir a la entrevista igual, movida el mismo día al lunes siguiente.</w:t>
      </w:r>
    </w:p>
    <w:p>
      <w:pPr>
        <w:pStyle w:val="Heading2"/>
        <w:spacing w:after="140" w:before="260"/>
      </w:pPr>
      <w:r>
        <w:rPr>
          <w:b/>
          <w:bCs/>
          <w:color w:val="8A6D3B"/>
          <w:sz w:val="24"/>
          <w:szCs w:val="24"/>
        </w:rPr>
        <w:t xml:space="preserve">2. "Sé desgarradoramente honesta": jugar el juego de la negociación</w:t>
      </w:r>
    </w:p>
    <w:p>
      <w:pPr>
        <w:spacing w:after="180" w:line="300"/>
        <w:jc w:val="both"/>
      </w:pPr>
      <w:r>
        <w:rPr>
          <w:sz w:val="22"/>
          <w:szCs w:val="22"/>
        </w:rPr>
        <w:t xml:space="preserve">Se le propone un ejercicio concreto antes de la entrevista: pedir como si contara con todos los recursos del mundo —un sueldo alto, un equipo de especialistas senior— no por codicia sino como </w:t>
      </w:r>
      <w:r>
        <w:rPr>
          <w:i/>
          <w:iCs/>
          <w:color w:val="1F3864"/>
          <w:sz w:val="22"/>
          <w:szCs w:val="22"/>
        </w:rPr>
        <w:t xml:space="preserve">«un reconocimiento de tu trayectoria... y ponerle un precio a eso»</w:t>
      </w:r>
      <w:r>
        <w:rPr>
          <w:sz w:val="22"/>
          <w:szCs w:val="22"/>
        </w:rPr>
        <w:t xml:space="preserve">. Se enmarca como una forma de "incomodar" a la personalidad que se siente disminuida, más que como una negociación real, ya que Claudia no piensa cambiarse.</w:t>
      </w:r>
    </w:p>
    <w:p>
      <w:pPr>
        <w:spacing w:after="180" w:line="300"/>
        <w:jc w:val="both"/>
      </w:pPr>
      <w:r>
        <w:rPr>
          <w:sz w:val="22"/>
          <w:szCs w:val="22"/>
        </w:rPr>
        <w:t xml:space="preserve">Sobre el hecho mismo de haber sido buscada, se hace un paralelo con la propia terapeuta, contactada por reclutadores incluso trabajando ya en otra área: </w:t>
      </w:r>
      <w:r>
        <w:rPr>
          <w:i/>
          <w:iCs/>
          <w:color w:val="1F3864"/>
          <w:sz w:val="22"/>
          <w:szCs w:val="22"/>
        </w:rPr>
        <w:t xml:space="preserve">«es rico que te llamen, es rico que te busquen... y también ser consciente de cuál es tu precio»</w:t>
      </w:r>
      <w:r>
        <w:rPr>
          <w:sz w:val="22"/>
          <w:szCs w:val="22"/>
        </w:rPr>
        <w:t xml:space="preserve">.</w:t>
      </w:r>
    </w:p>
    <w:p>
      <w:pPr>
        <w:pStyle w:val="Heading2"/>
        <w:spacing w:after="140" w:before="260"/>
      </w:pPr>
      <w:r>
        <w:rPr>
          <w:b/>
          <w:bCs/>
          <w:color w:val="8A6D3B"/>
          <w:sz w:val="24"/>
          <w:szCs w:val="24"/>
        </w:rPr>
        <w:t xml:space="preserve">3. El recuerdo de los padres: la madre que "frenaba" al padre</w:t>
      </w:r>
    </w:p>
    <w:p>
      <w:pPr>
        <w:spacing w:after="180" w:line="300"/>
        <w:jc w:val="both"/>
      </w:pPr>
      <w:r>
        <w:rPr>
          <w:sz w:val="22"/>
          <w:szCs w:val="22"/>
        </w:rPr>
        <w:t xml:space="preserve">Al hilo de querer pedir una evaluación informal ("un 1 a 1") a dos referentes que no son su jefa directa —Osvaldo y Priscila—, Claudia recuerda que su propio padre pedía a sus alumnos que lo evaluaran, y que su madre lo reprendía por eso: </w:t>
      </w:r>
      <w:r>
        <w:rPr>
          <w:i/>
          <w:iCs/>
          <w:color w:val="1F3864"/>
          <w:sz w:val="22"/>
          <w:szCs w:val="22"/>
        </w:rPr>
        <w:t xml:space="preserve">«¿estás seguro de ti mismo nomás? ¿Qué estás pidiendo la opinión al resto?»</w:t>
      </w:r>
      <w:r>
        <w:rPr>
          <w:sz w:val="22"/>
          <w:szCs w:val="22"/>
        </w:rPr>
        <w:t xml:space="preserve">. Trae también, de una conversación con su hermana Moni, la idea de que su madre "no dejó desarrollarse" del todo a su padre —que hizo un doctorado en Bélgica pero luego "quería hacer cursos de jazz, de filosofía" que la madre desalentaba—, frente a la versión de la propia madre: "si no fuera por mí, tu papá... yo soy la única que lo ha soportado".</w:t>
      </w:r>
    </w:p>
    <w:p>
      <w:pPr>
        <w:pStyle w:val="Heading2"/>
        <w:spacing w:after="140" w:before="260"/>
      </w:pPr>
      <w:r>
        <w:rPr>
          <w:b/>
          <w:bCs/>
          <w:color w:val="8A6D3B"/>
          <w:sz w:val="24"/>
          <w:szCs w:val="24"/>
        </w:rPr>
        <w:t xml:space="preserve">4. El fractal en el trabajo: la jefa "sin conocimiento técnico"</w:t>
      </w:r>
    </w:p>
    <w:p>
      <w:pPr>
        <w:spacing w:after="180" w:line="300"/>
        <w:jc w:val="both"/>
      </w:pPr>
      <w:r>
        <w:rPr>
          <w:sz w:val="22"/>
          <w:szCs w:val="22"/>
        </w:rPr>
        <w:t xml:space="preserve">Se comenta el caso de una colega, Loreto, ascendida a jefa de operaciones de una zona sin formación técnica en generación eléctrica, valorada por otras cualidades ("es súper leal, es busquilla"). Se usa el caso para ilustrar que no hace falta saberlo todo para liderar bien —"no hay nada mejor en una jefatura que una mirada fresca"— y se compara con la propia terapeuta explicando por qué no iría a ciertas terapias holísticas por estar ella misma "contaminada" con su propio marco profesional.</w:t>
      </w:r>
    </w:p>
    <w:p>
      <w:pPr>
        <w:pStyle w:val="Heading2"/>
        <w:spacing w:after="140" w:before="260"/>
      </w:pPr>
      <w:r>
        <w:rPr>
          <w:b/>
          <w:bCs/>
          <w:color w:val="8A6D3B"/>
          <w:sz w:val="24"/>
          <w:szCs w:val="24"/>
        </w:rPr>
        <w:t xml:space="preserve">5. El hermano: el beso de saludo</w:t>
      </w:r>
    </w:p>
    <w:p>
      <w:pPr>
        <w:spacing w:after="180" w:line="300"/>
        <w:jc w:val="both"/>
      </w:pPr>
      <w:r>
        <w:rPr>
          <w:sz w:val="22"/>
          <w:szCs w:val="22"/>
        </w:rPr>
        <w:t xml:space="preserve">Claudia relata que, en el cumpleaños de su madre, saludó a su hermano Cristian con un beso — </w:t>
      </w:r>
      <w:r>
        <w:rPr>
          <w:i/>
          <w:iCs/>
          <w:color w:val="1F3864"/>
          <w:sz w:val="22"/>
          <w:szCs w:val="22"/>
        </w:rPr>
        <w:t xml:space="preserve">«lo saludé de beso»</w:t>
      </w:r>
      <w:r>
        <w:rPr>
          <w:sz w:val="22"/>
          <w:szCs w:val="22"/>
        </w:rPr>
        <w:t xml:space="preserve"> — y que él respondió al saludo, algo que hacía años no ocurría. Cuenta también que su hermano consiguió trabajo esa semana, aunque llegó "amargado" el primer día, describiendo el lugar como oscuro y hostil. Se ofrece una lectura de ese relato: "a nivel psíquico tu hermano vive así la realidad", ilustrada con el personaje 22 de la película </w:t>
      </w:r>
      <w:r>
        <w:rPr>
          <w:i/>
          <w:iCs/>
          <w:color w:val="1F3864"/>
          <w:sz w:val="22"/>
          <w:szCs w:val="22"/>
        </w:rPr>
        <w:t xml:space="preserve">«Soul»</w:t>
      </w:r>
      <w:r>
        <w:rPr>
          <w:sz w:val="22"/>
          <w:szCs w:val="22"/>
        </w:rPr>
        <w:t xml:space="preserve">, que se rinde y se convierte en oscuridad.</w:t>
      </w:r>
    </w:p>
    <w:p>
      <w:pPr>
        <w:spacing w:after="180" w:line="300"/>
        <w:jc w:val="both"/>
      </w:pPr>
      <w:r>
        <w:rPr>
          <w:sz w:val="22"/>
          <w:szCs w:val="22"/>
        </w:rPr>
        <w:t xml:space="preserve">Se insiste en que el ejercicio de soltar el juicio hacia el hermano no es "para hacerse cargo de él", sino porque dejar de estar enojada con los hermanos se traduce, según el método, en dejar de tener problemas con la autoridad y los colegas: </w:t>
      </w:r>
      <w:r>
        <w:rPr>
          <w:i/>
          <w:iCs/>
          <w:color w:val="1F3864"/>
          <w:sz w:val="22"/>
          <w:szCs w:val="22"/>
        </w:rPr>
        <w:t xml:space="preserve">«vamos al origen y decidimos en conciencia que no vamos a ser malos hermanos»</w:t>
      </w:r>
      <w:r>
        <w:rPr>
          <w:sz w:val="22"/>
          <w:szCs w:val="22"/>
        </w:rPr>
        <w:t xml:space="preserve">.</w:t>
      </w:r>
    </w:p>
    <w:p>
      <w:pPr>
        <w:pStyle w:val="Heading2"/>
        <w:spacing w:after="140" w:before="260"/>
      </w:pPr>
      <w:r>
        <w:rPr>
          <w:b/>
          <w:bCs/>
          <w:color w:val="8A6D3B"/>
          <w:sz w:val="24"/>
          <w:szCs w:val="24"/>
        </w:rPr>
        <w:t xml:space="preserve">6. La propia terapeuta comparte su crisis: el taller del perdón, la separación de sus padres, pedir ayuda</w:t>
      </w:r>
    </w:p>
    <w:p>
      <w:pPr>
        <w:spacing w:after="180" w:line="300"/>
        <w:jc w:val="both"/>
      </w:pPr>
      <w:r>
        <w:rPr>
          <w:sz w:val="22"/>
          <w:szCs w:val="22"/>
        </w:rPr>
        <w:t xml:space="preserve">En un tramo inusual de la sesión, la terapeuta comparte con Claudia su propia historia: que la crisis más fuerte de su vida no fue por el cambio de país en sí, sino por un conflicto familiar que se activó al mudarse —sus padres se habían separado tiempo atrás cuando su padre se quedó sin trabajo y no pudo seguir siendo el proveedor, y su esposo Rodrigo lleva más de dos años sin trabajar tras vender su parte de una empresa.</w:t>
      </w:r>
    </w:p>
    <w:p>
      <w:pPr>
        <w:spacing w:after="180" w:line="300"/>
        <w:jc w:val="both"/>
      </w:pPr>
      <w:r>
        <w:rPr>
          <w:sz w:val="22"/>
          <w:szCs w:val="22"/>
        </w:rPr>
        <w:t xml:space="preserve">Cuenta que en ese período llegó a sentir </w:t>
      </w:r>
      <w:r>
        <w:rPr>
          <w:i/>
          <w:iCs/>
          <w:color w:val="1F3864"/>
          <w:sz w:val="22"/>
          <w:szCs w:val="22"/>
        </w:rPr>
        <w:t xml:space="preserve">«esquizofrenia, una locura»</w:t>
      </w:r>
      <w:r>
        <w:rPr>
          <w:sz w:val="22"/>
          <w:szCs w:val="22"/>
        </w:rPr>
        <w:t xml:space="preserve"> pensando en cómo generar el dinero necesario para vivir, y que en ese momento le pidió trabajo a Claudia y a otras dos personas: </w:t>
      </w:r>
      <w:r>
        <w:rPr>
          <w:i/>
          <w:iCs/>
          <w:color w:val="1F3864"/>
          <w:sz w:val="22"/>
          <w:szCs w:val="22"/>
        </w:rPr>
        <w:t xml:space="preserve">«tú fuiste la única persona que, cuando le pedí ayuda, no me preguntaste nada»</w:t>
      </w:r>
      <w:r>
        <w:rPr>
          <w:sz w:val="22"/>
          <w:szCs w:val="22"/>
        </w:rPr>
        <w:t xml:space="preserve">.</w:t>
      </w:r>
    </w:p>
    <w:p>
      <w:pPr>
        <w:pStyle w:val="Heading2"/>
        <w:spacing w:after="140" w:before="260"/>
      </w:pPr>
      <w:r>
        <w:rPr>
          <w:b/>
          <w:bCs/>
          <w:color w:val="8A6D3B"/>
          <w:sz w:val="24"/>
          <w:szCs w:val="24"/>
        </w:rPr>
        <w:t xml:space="preserve">7. Cierre: vacaciones, la sertralina, contactos para Rodrigo</w:t>
      </w:r>
    </w:p>
    <w:p>
      <w:pPr>
        <w:spacing w:after="180" w:line="300"/>
        <w:jc w:val="both"/>
      </w:pPr>
      <w:r>
        <w:rPr>
          <w:sz w:val="22"/>
          <w:szCs w:val="22"/>
        </w:rPr>
        <w:t xml:space="preserve">La sesión cierra con planes de vacaciones para Claudia y su hija Franny en Marbella, y con la terapeuta ofreciendo enviar el currículum de su esposo Rodrigo —con conocimientos de SAP— a dos amigas suyas que trabajan en energía en España. Sobre su propia medicación, la terapeuta comenta que seguirá tomando sertralina "harto rato" porque le ha ayudado con la hipersensibilidad, sin que le note afectadas sus capacidades.</w:t>
      </w:r>
    </w:p>
    <w:p>
      <w:r>
        <w:br w:type="page"/>
      </w:r>
    </w:p>
    <w:p>
      <w:pPr>
        <w:pStyle w:val="Heading1"/>
        <w:pBdr>
          <w:bottom w:val="single" w:color="8A6D3B" w:sz="8" w:space="6"/>
        </w:pBdr>
        <w:spacing w:after="100" w:before="400"/>
      </w:pPr>
      <w:r>
        <w:rPr>
          <w:b/>
          <w:bCs/>
          <w:color w:val="1F3864"/>
          <w:sz w:val="30"/>
          <w:szCs w:val="30"/>
        </w:rPr>
        <w:t xml:space="preserve">Sesión — 18 de julio de 2025</w:t>
      </w:r>
    </w:p>
    <w:p>
      <w:pPr>
        <w:pStyle w:val="Heading2"/>
        <w:spacing w:after="140" w:before="260"/>
      </w:pPr>
      <w:r>
        <w:rPr>
          <w:b/>
          <w:bCs/>
          <w:color w:val="8A6D3B"/>
          <w:sz w:val="24"/>
          <w:szCs w:val="24"/>
        </w:rPr>
        <w:t xml:space="preserve">1. Apertura: el accidente con la uña</w:t>
      </w:r>
    </w:p>
    <w:p>
      <w:pPr>
        <w:spacing w:after="180" w:line="300"/>
        <w:jc w:val="both"/>
      </w:pPr>
      <w:r>
        <w:rPr>
          <w:sz w:val="22"/>
          <w:szCs w:val="22"/>
        </w:rPr>
        <w:t xml:space="preserve">Claudia llega con un dedo herido y con puntos: se cortó al pasarse a llevar la uña, tuvo que ir a urgencias, y describe el proceso con detalle físico —el ardor del corte, el dolor de los pinchazos de la anestesia— y con una nota sobre cómo el antibiótico que está tomando "le bajó las defensas" y el ánimo.</w:t>
      </w:r>
    </w:p>
    <w:p>
      <w:pPr>
        <w:pStyle w:val="Heading2"/>
        <w:spacing w:after="140" w:before="260"/>
      </w:pPr>
      <w:r>
        <w:rPr>
          <w:b/>
          <w:bCs/>
          <w:color w:val="8A6D3B"/>
          <w:sz w:val="24"/>
          <w:szCs w:val="24"/>
        </w:rPr>
        <w:t xml:space="preserve">2. La entrevista como ensayo de negociación</w:t>
      </w:r>
    </w:p>
    <w:p>
      <w:pPr>
        <w:spacing w:after="180" w:line="300"/>
        <w:jc w:val="both"/>
      </w:pPr>
      <w:r>
        <w:rPr>
          <w:sz w:val="22"/>
          <w:szCs w:val="22"/>
        </w:rPr>
        <w:t xml:space="preserve">Claudia relata cómo aplicó el ejercicio propuesto en la sesión anterior: exigió al reclutador que le confirmara la empresa y el número de personas del equipo antes de seguir el proceso, fijando un piso salarial. Declinó la oferta después, con esta lógica: </w:t>
      </w:r>
      <w:r>
        <w:rPr>
          <w:i/>
          <w:iCs/>
          <w:color w:val="1F3864"/>
          <w:sz w:val="22"/>
          <w:szCs w:val="22"/>
        </w:rPr>
        <w:t xml:space="preserve">«no me voy a cambiar porque necesito demostrarme que la planificación que he hecho... la voy a cumplir»</w:t>
      </w:r>
      <w:r>
        <w:rPr>
          <w:sz w:val="22"/>
          <w:szCs w:val="22"/>
        </w:rPr>
        <w:t xml:space="preserve">. El comentario que recibe es que "te vendiste como marca personal", y se le pone una tarea de práctica menor: lograr que una amiga la llame durante la semana, como forma de entrenar la confianza antes de aplicarla a metas más grandes.</w:t>
      </w:r>
    </w:p>
    <w:p>
      <w:pPr>
        <w:pStyle w:val="Heading2"/>
        <w:spacing w:after="140" w:before="260"/>
      </w:pPr>
      <w:r>
        <w:rPr>
          <w:b/>
          <w:bCs/>
          <w:color w:val="8A6D3B"/>
          <w:sz w:val="24"/>
          <w:szCs w:val="24"/>
        </w:rPr>
        <w:t xml:space="preserve">3. Menopausia y terapia hormonal</w:t>
      </w:r>
    </w:p>
    <w:p>
      <w:pPr>
        <w:spacing w:after="180" w:line="300"/>
        <w:jc w:val="both"/>
      </w:pPr>
      <w:r>
        <w:rPr>
          <w:sz w:val="22"/>
          <w:szCs w:val="22"/>
        </w:rPr>
        <w:t xml:space="preserve">Claudia cuenta que fue diagnosticada con menopausia por su ginecóloga y que lleva unas tres semanas en tratamiento hormonal —estrógeno en gel aplicado en el brazo, progesterona los primeros siete días de cada mes—, y que esa semana, coincidiendo con el regreso de la regla tras meses de ausencia, tuvo un bajón anímico marcado: </w:t>
      </w:r>
      <w:r>
        <w:rPr>
          <w:i/>
          <w:iCs/>
          <w:color w:val="1F3864"/>
          <w:sz w:val="22"/>
          <w:szCs w:val="22"/>
        </w:rPr>
        <w:t xml:space="preserve">«anoche súper deprimida, bajón, me vinieron puros cuestionamientos»</w:t>
      </w:r>
      <w:r>
        <w:rPr>
          <w:sz w:val="22"/>
          <w:szCs w:val="22"/>
        </w:rPr>
        <w:t xml:space="preserve">, reconociendo que no aplicó la "dieta de pensamiento" ese día porque "no me acordé".</w:t>
      </w:r>
    </w:p>
    <w:p>
      <w:pPr>
        <w:pStyle w:val="Heading2"/>
        <w:spacing w:after="140" w:before="260"/>
      </w:pPr>
      <w:r>
        <w:rPr>
          <w:b/>
          <w:bCs/>
          <w:color w:val="8A6D3B"/>
          <w:sz w:val="24"/>
          <w:szCs w:val="24"/>
        </w:rPr>
        <w:t xml:space="preserve">4. El personaje "exagerado", preludio de la angustia</w:t>
      </w:r>
    </w:p>
    <w:p>
      <w:pPr>
        <w:spacing w:after="180" w:line="300"/>
        <w:jc w:val="both"/>
      </w:pPr>
      <w:r>
        <w:rPr>
          <w:sz w:val="22"/>
          <w:szCs w:val="22"/>
        </w:rPr>
        <w:t xml:space="preserve">Se describe un personaje interno que antecede a la angustia: aquel que exagera cada situación con hipérboles —"he hecho todo mal esta semana, mi trabajo no vale"— y que, de no frenarse, desemboca en angustia. Se propone reconocerlo por su lenguaje extremo y ponerle límite antes de que escale.</w:t>
      </w:r>
    </w:p>
    <w:p>
      <w:pPr>
        <w:pStyle w:val="Heading2"/>
        <w:spacing w:after="140" w:before="260"/>
      </w:pPr>
      <w:r>
        <w:rPr>
          <w:b/>
          <w:bCs/>
          <w:color w:val="8A6D3B"/>
          <w:sz w:val="24"/>
          <w:szCs w:val="24"/>
        </w:rPr>
        <w:t xml:space="preserve">5. "Mi hermano se parece a mí"</w:t>
      </w:r>
    </w:p>
    <w:p>
      <w:pPr>
        <w:spacing w:after="180" w:line="300"/>
        <w:jc w:val="both"/>
      </w:pPr>
      <w:r>
        <w:rPr>
          <w:sz w:val="22"/>
          <w:szCs w:val="22"/>
        </w:rPr>
        <w:t xml:space="preserve">En un giro que Claudia recibe entre risas, se le hace notar que el comportamiento de su hermano en el trabajo —directo, sin filtro, capaz de "mandar a todo el mundo a la punta del cerro"— es "muy parecido" a algo que ella misma querría permitirse pero reprime: </w:t>
      </w:r>
      <w:r>
        <w:rPr>
          <w:i/>
          <w:iCs/>
          <w:color w:val="1F3864"/>
          <w:sz w:val="22"/>
          <w:szCs w:val="22"/>
        </w:rPr>
        <w:t xml:space="preserve">«a ti te encantaría ir de repente a trabajar vestida de tu hermano»</w:t>
      </w:r>
      <w:r>
        <w:rPr>
          <w:sz w:val="22"/>
          <w:szCs w:val="22"/>
        </w:rPr>
        <w:t xml:space="preserve">. Se plantea que juzgar en el otro un rasgo que uno mismo reprime es una forma de "revelar una sombra" propia.</w:t>
      </w:r>
    </w:p>
    <w:p>
      <w:pPr>
        <w:pStyle w:val="Heading2"/>
        <w:spacing w:after="140" w:before="260"/>
      </w:pPr>
      <w:r>
        <w:rPr>
          <w:b/>
          <w:bCs/>
          <w:color w:val="8A6D3B"/>
          <w:sz w:val="24"/>
          <w:szCs w:val="24"/>
        </w:rPr>
        <w:t xml:space="preserve">6. La perimenopausia como segunda adolescencia</w:t>
      </w:r>
    </w:p>
    <w:p>
      <w:pPr>
        <w:spacing w:after="180" w:line="300"/>
        <w:jc w:val="both"/>
      </w:pPr>
      <w:r>
        <w:rPr>
          <w:sz w:val="22"/>
          <w:szCs w:val="22"/>
        </w:rPr>
        <w:t xml:space="preserve">Se ofrece un marco para este momento vital: </w:t>
      </w:r>
      <w:r>
        <w:rPr>
          <w:i/>
          <w:iCs/>
          <w:color w:val="1F3864"/>
          <w:sz w:val="22"/>
          <w:szCs w:val="22"/>
        </w:rPr>
        <w:t xml:space="preserve">«la menopausia es un segundo florecimiento de la mujer»</w:t>
      </w:r>
      <w:r>
        <w:rPr>
          <w:sz w:val="22"/>
          <w:szCs w:val="22"/>
        </w:rPr>
        <w:t xml:space="preserve">, aunque algunas mujeres la vivan como decadencia; se describe como una etapa de maduración de la fruta que trae consigo sabiduría y cambios en la relación con el trabajo, la sexualidad y una misma. Se sugiere que la irritabilidad de este período puede señalar que la persona quedó "pegada en la adolescencia o en la infancia".</w:t>
      </w:r>
    </w:p>
    <w:p>
      <w:pPr>
        <w:pStyle w:val="Heading2"/>
        <w:spacing w:after="140" w:before="260"/>
      </w:pPr>
      <w:r>
        <w:rPr>
          <w:b/>
          <w:bCs/>
          <w:color w:val="8A6D3B"/>
          <w:sz w:val="24"/>
          <w:szCs w:val="24"/>
        </w:rPr>
        <w:t xml:space="preserve">7. Cierre: menos miedo, más límite</w:t>
      </w:r>
    </w:p>
    <w:p>
      <w:pPr>
        <w:spacing w:after="180" w:line="300"/>
        <w:jc w:val="both"/>
      </w:pPr>
      <w:r>
        <w:rPr>
          <w:sz w:val="22"/>
          <w:szCs w:val="22"/>
        </w:rPr>
        <w:t xml:space="preserve">Claudia cierra notando un cambio: </w:t>
      </w:r>
      <w:r>
        <w:rPr>
          <w:i/>
          <w:iCs/>
          <w:color w:val="1F3864"/>
          <w:sz w:val="22"/>
          <w:szCs w:val="22"/>
        </w:rPr>
        <w:t xml:space="preserve">«cada vez tengo menos miedo a que me digan algo negativo»</w:t>
      </w:r>
      <w:r>
        <w:rPr>
          <w:sz w:val="22"/>
          <w:szCs w:val="22"/>
        </w:rPr>
        <w:t xml:space="preserve">, no porque el miedo haya desaparecido del todo, sino porque ya no anticipa que las cosas van a salir mal. Se ilustra con una imagen matemática: cuando el denominador de una ecuación crece mucho, el resultado tiende a cero — el miedo antiguo pierde peso porque se han incorporado nuevas variables. Se cierra con la idea de que conocer el propio límite "es un acto de amor" que, lejos de restringir, amplía lo posible.</w:t>
      </w:r>
    </w:p>
    <w:p>
      <w:r>
        <w:br w:type="page"/>
      </w:r>
    </w:p>
    <w:p>
      <w:pPr>
        <w:pStyle w:val="Heading1"/>
        <w:pBdr>
          <w:bottom w:val="single" w:color="8A6D3B" w:sz="8" w:space="6"/>
        </w:pBdr>
        <w:spacing w:after="100" w:before="400"/>
      </w:pPr>
      <w:r>
        <w:rPr>
          <w:b/>
          <w:bCs/>
          <w:color w:val="1F3864"/>
          <w:sz w:val="30"/>
          <w:szCs w:val="30"/>
        </w:rPr>
        <w:t xml:space="preserve">Sesión — 26 de julio de 2025</w:t>
      </w:r>
    </w:p>
    <w:p>
      <w:pPr>
        <w:pStyle w:val="Heading2"/>
        <w:spacing w:after="140" w:before="260"/>
      </w:pPr>
      <w:r>
        <w:rPr>
          <w:b/>
          <w:bCs/>
          <w:color w:val="8A6D3B"/>
          <w:sz w:val="24"/>
          <w:szCs w:val="24"/>
        </w:rPr>
        <w:t xml:space="preserve">1. Apertura: la crisis de pánico de Franny</w:t>
      </w:r>
    </w:p>
    <w:p>
      <w:pPr>
        <w:spacing w:after="180" w:line="300"/>
        <w:jc w:val="both"/>
      </w:pPr>
      <w:r>
        <w:rPr>
          <w:sz w:val="22"/>
          <w:szCs w:val="22"/>
        </w:rPr>
        <w:t xml:space="preserve">La sesión abre con Claudia pidiendo hablar con la puerta cerrada: su hija Franny tuvo una crisis de pánico y se autolesionó un dedo —un episodio que se suma a otro, no contado a Claudia en su momento, sino a su hermana Moni. Franny fue diagnosticada años atrás con </w:t>
      </w:r>
      <w:r>
        <w:rPr>
          <w:i/>
          <w:iCs/>
          <w:color w:val="1F3864"/>
          <w:sz w:val="22"/>
          <w:szCs w:val="22"/>
        </w:rPr>
        <w:t xml:space="preserve">«trastorno de ansiedad y déficit atencional»</w:t>
      </w:r>
      <w:r>
        <w:rPr>
          <w:sz w:val="22"/>
          <w:szCs w:val="22"/>
        </w:rPr>
        <w:t xml:space="preserve">, y Claudia ya gestionó una hora con psiquiatra para octubre y una nueva psicóloga, "que tenga química con ella", ya que con la anterior "nunca tuvo química".</w:t>
      </w:r>
    </w:p>
    <w:p>
      <w:pPr>
        <w:pStyle w:val="Heading2"/>
        <w:spacing w:after="140" w:before="260"/>
      </w:pPr>
      <w:r>
        <w:rPr>
          <w:b/>
          <w:bCs/>
          <w:color w:val="8A6D3B"/>
          <w:sz w:val="24"/>
          <w:szCs w:val="24"/>
        </w:rPr>
        <w:t xml:space="preserve">2. La historia del rechazo: la cena solidaria</w:t>
      </w:r>
    </w:p>
    <w:p>
      <w:pPr>
        <w:spacing w:after="180" w:line="300"/>
        <w:jc w:val="both"/>
      </w:pPr>
      <w:r>
        <w:rPr>
          <w:sz w:val="22"/>
          <w:szCs w:val="22"/>
        </w:rPr>
        <w:t xml:space="preserve">Claudia reconstruye el origen de las crisis de Franny: en séptimo básico, en una cena solidaria del colegio, una compañera le pidió "prestada" la silla junto a sus amigas y se la llevó sin invitarla a acompañarlas. Franny desapareció durante horas hasta que la encontraron llorando a oscuras en una escalera del subterráneo, diciendo </w:t>
      </w:r>
      <w:r>
        <w:rPr>
          <w:i/>
          <w:iCs/>
          <w:color w:val="1F3864"/>
          <w:sz w:val="22"/>
          <w:szCs w:val="22"/>
        </w:rPr>
        <w:t xml:space="preserve">«me quiero morir»</w:t>
      </w:r>
      <w:r>
        <w:rPr>
          <w:sz w:val="22"/>
          <w:szCs w:val="22"/>
        </w:rPr>
        <w:t xml:space="preserve">. Un segundo episodio, meses atrás, se relaciona con un comentario humillante de un compañero tras un encuentro romántico breve. En ambos casos, Franny no acudió primero a su madre sino a su tía Moni.</w:t>
      </w:r>
    </w:p>
    <w:p>
      <w:pPr>
        <w:pStyle w:val="Heading2"/>
        <w:spacing w:after="140" w:before="260"/>
      </w:pPr>
      <w:r>
        <w:rPr>
          <w:b/>
          <w:bCs/>
          <w:color w:val="8A6D3B"/>
          <w:sz w:val="24"/>
          <w:szCs w:val="24"/>
        </w:rPr>
        <w:t xml:space="preserve">3. La culpa materna y la pregunta por Francisco</w:t>
      </w:r>
    </w:p>
    <w:p>
      <w:pPr>
        <w:spacing w:after="180" w:line="300"/>
        <w:jc w:val="both"/>
      </w:pPr>
      <w:r>
        <w:rPr>
          <w:sz w:val="22"/>
          <w:szCs w:val="22"/>
        </w:rPr>
        <w:t xml:space="preserve">Invitada a nombrar cómo se siente frente a esto, Claudia va primero a la culpa —"no supe traspasarle las herramientas"— y de inmediato se desvía hacia relatar la historia de Franny en lugar de hablar de sí misma, algo que se le señala en el momento como un patrón: </w:t>
      </w:r>
      <w:r>
        <w:rPr>
          <w:i/>
          <w:iCs/>
          <w:color w:val="1F3864"/>
          <w:sz w:val="22"/>
          <w:szCs w:val="22"/>
        </w:rPr>
        <w:t xml:space="preserve">«cuando tú me relatas lo de la Franny, en el fondo me estás entregando información valiosa tuya»</w:t>
      </w:r>
      <w:r>
        <w:rPr>
          <w:sz w:val="22"/>
          <w:szCs w:val="22"/>
        </w:rPr>
        <w:t xml:space="preserve">.</w:t>
      </w:r>
    </w:p>
    <w:p>
      <w:pPr>
        <w:spacing w:after="180" w:line="300"/>
        <w:jc w:val="both"/>
      </w:pPr>
      <w:r>
        <w:rPr>
          <w:sz w:val="22"/>
          <w:szCs w:val="22"/>
        </w:rPr>
        <w:t xml:space="preserve">Se le pregunta directamente por el lugar de Francisco en el relato, ausente hasta entonces: Claudia reconoce que él "lo minimiza todo" ("exageración", dice él) y que enfrenta estas crisis "como sola". Se nombran ahí dos heridas posibles: la del rechazo —reflejada ahora en los hijos— y, respecto de Francisco, la de la injusticia o el abandono.</w:t>
      </w:r>
    </w:p>
    <w:p>
      <w:pPr>
        <w:pStyle w:val="Heading2"/>
        <w:spacing w:after="140" w:before="260"/>
      </w:pPr>
      <w:r>
        <w:rPr>
          <w:b/>
          <w:bCs/>
          <w:color w:val="8A6D3B"/>
          <w:sz w:val="24"/>
          <w:szCs w:val="24"/>
        </w:rPr>
        <w:t xml:space="preserve">4. Una herida no resuelta: el nacimiento de Martín</w:t>
      </w:r>
    </w:p>
    <w:p>
      <w:pPr>
        <w:spacing w:after="180" w:line="300"/>
        <w:jc w:val="both"/>
      </w:pPr>
      <w:r>
        <w:rPr>
          <w:sz w:val="22"/>
          <w:szCs w:val="22"/>
        </w:rPr>
        <w:t xml:space="preserve">De ahí, Claudia trae un recuerdo que dice no haber hablado nunca, ni siquiera con Francisco: el embarazo de Martín, marcado por preeclampsia y un mioma, diez días de hospitalización, un vínculo tenso con su suegra en ese período, y la vergüenza de no producir suficiente leche materna —comparándose con otras mujeres a las que "se les chorreaba"—. Dice haberle achacado a Francisco parte de ese malestar durante años, sin haberlo conversado nunca abiertamente: </w:t>
      </w:r>
      <w:r>
        <w:rPr>
          <w:i/>
          <w:iCs/>
          <w:color w:val="1F3864"/>
          <w:sz w:val="22"/>
          <w:szCs w:val="22"/>
        </w:rPr>
        <w:t xml:space="preserve">«me hubiera gustado que me siguiera la mena en todo... el centro era yo, no su suegra»</w:t>
      </w:r>
      <w:r>
        <w:rPr>
          <w:sz w:val="22"/>
          <w:szCs w:val="22"/>
        </w:rPr>
        <w:t xml:space="preserve">.</w:t>
      </w:r>
    </w:p>
    <w:p>
      <w:pPr>
        <w:pStyle w:val="Heading2"/>
        <w:spacing w:after="140" w:before="260"/>
      </w:pPr>
      <w:r>
        <w:rPr>
          <w:b/>
          <w:bCs/>
          <w:color w:val="8A6D3B"/>
          <w:sz w:val="24"/>
          <w:szCs w:val="24"/>
        </w:rPr>
        <w:t xml:space="preserve">5. El marco de las "derivadas": de lo externo a la gratitud</w:t>
      </w:r>
    </w:p>
    <w:p>
      <w:pPr>
        <w:spacing w:after="180" w:line="300"/>
        <w:jc w:val="both"/>
      </w:pPr>
      <w:r>
        <w:rPr>
          <w:sz w:val="22"/>
          <w:szCs w:val="22"/>
        </w:rPr>
        <w:t xml:space="preserve">La sesión retoma un esquema ya trabajado por escrito entre sesiones, que Claudia recita de memoria con el lenguaje de las derivadas matemáticas: un primer nivel es el juicio de valor por lo que se ve afuera; un segundo nivel vuelve a la referencia familiar donde se formó la personalidad; un tercer nivel pregunta hacia adentro ("¿me quiero, o me comporto así para que otros me admiren?"); y un cuarto nivel es agradecer la situación porque </w:t>
      </w:r>
      <w:r>
        <w:rPr>
          <w:i/>
          <w:iCs/>
          <w:color w:val="1F3864"/>
          <w:sz w:val="22"/>
          <w:szCs w:val="22"/>
        </w:rPr>
        <w:t xml:space="preserve">«permitió revelar información oculta»</w:t>
      </w:r>
      <w:r>
        <w:rPr>
          <w:sz w:val="22"/>
          <w:szCs w:val="22"/>
        </w:rPr>
        <w:t xml:space="preserve">.</w:t>
      </w:r>
    </w:p>
    <w:p>
      <w:pPr>
        <w:spacing w:after="180" w:line="300"/>
        <w:jc w:val="both"/>
      </w:pPr>
      <w:r>
        <w:rPr>
          <w:sz w:val="22"/>
          <w:szCs w:val="22"/>
        </w:rPr>
        <w:t xml:space="preserve">Aplicado a Franny, se plantea que le teme a sus propias emociones porque aún no ha desarrollado autorregulación, y que lo externo pesa mucho en su edad — algo que, se dice, se transita con el tiempo.</w:t>
      </w:r>
    </w:p>
    <w:p>
      <w:pPr>
        <w:pStyle w:val="Heading2"/>
        <w:spacing w:after="140" w:before="260"/>
      </w:pPr>
      <w:r>
        <w:rPr>
          <w:b/>
          <w:bCs/>
          <w:color w:val="8A6D3B"/>
          <w:sz w:val="24"/>
          <w:szCs w:val="24"/>
        </w:rPr>
        <w:t xml:space="preserve">6. El espejo: "cuando alguien habla de ti, habla de sí mismo"</w:t>
      </w:r>
    </w:p>
    <w:p>
      <w:pPr>
        <w:spacing w:after="180" w:line="300"/>
        <w:jc w:val="both"/>
      </w:pPr>
      <w:r>
        <w:rPr>
          <w:sz w:val="22"/>
          <w:szCs w:val="22"/>
        </w:rPr>
        <w:t xml:space="preserve">Se insiste en un principio que atraviesa la sesión: lo que Franny piensa de Claudia ("no quiero que llegue como loca") habla de la propia Franny y de su manera de gestionar la intensidad, no de un juicio real sobre la madre. Como ejemplo personal, la terapeuta comparte que su propio hijo alguna vez le dijo que era "muy intensa", y que ella misma reconoció después esa intensidad reflejada en él ("cuando algo le gusta, es intenso"): </w:t>
      </w:r>
      <w:r>
        <w:rPr>
          <w:i/>
          <w:iCs/>
          <w:color w:val="1F3864"/>
          <w:sz w:val="22"/>
          <w:szCs w:val="22"/>
        </w:rPr>
        <w:t xml:space="preserve">«la cuestión refleja por los dos lados»</w:t>
      </w:r>
      <w:r>
        <w:rPr>
          <w:sz w:val="22"/>
          <w:szCs w:val="22"/>
        </w:rPr>
        <w:t xml:space="preserve">. Se extiende el principio a Francisco: que reste importancia a las crisis familiares "no tiene que ver contigo, tiene que ver con él, con cómo su propia madre le enseñó a lidiar con la intensidad".</w:t>
      </w:r>
    </w:p>
    <w:p>
      <w:pPr>
        <w:pStyle w:val="Heading2"/>
        <w:spacing w:after="140" w:before="260"/>
      </w:pPr>
      <w:r>
        <w:rPr>
          <w:b/>
          <w:bCs/>
          <w:color w:val="8A6D3B"/>
          <w:sz w:val="24"/>
          <w:szCs w:val="24"/>
        </w:rPr>
        <w:t xml:space="preserve">7. Cierre</w:t>
      </w:r>
    </w:p>
    <w:p>
      <w:pPr>
        <w:spacing w:after="180" w:line="300"/>
        <w:jc w:val="both"/>
      </w:pPr>
      <w:r>
        <w:rPr>
          <w:sz w:val="22"/>
          <w:szCs w:val="22"/>
        </w:rPr>
        <w:t xml:space="preserve">La sesión cierra con la terapeuta confirmando que enviará, como de costumbre, un resumen escrito de lo trabajado, y agendando la próxima sesión para dos semanas después, con la posibilidad de repasar juntas cualquier parte del resumen anterior que no haya quedado clara.</w:t>
      </w:r>
    </w:p>
    <w:p>
      <w:pPr>
        <w:spacing w:before="300"/>
        <w:jc w:val="center"/>
      </w:pPr>
      <w:r>
        <w:rPr>
          <w:i/>
          <w:iCs/>
          <w:color w:val="595959"/>
          <w:sz w:val="20"/>
          <w:szCs w:val="20"/>
        </w:rPr>
        <w:t xml:space="preserve">— Fin del resumen de julio 2025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2026-07-23T07:47:49.026Z</dcterms:created>
  <dcterms:modified xsi:type="dcterms:W3CDTF">2026-07-23T07:47:49.027Z</dcterms:modified>
</cp:coreProperties>
</file>

<file path=docProps/custom.xml><?xml version="1.0" encoding="utf-8"?>
<Properties xmlns="http://schemas.openxmlformats.org/officeDocument/2006/custom-properties" xmlns:vt="http://schemas.openxmlformats.org/officeDocument/2006/docPropsVTypes"/>
</file>