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Tareas cronológicas · Bloque Abril 2026</w:t>
      </w:r>
    </w:p>
    <w:p>
      <w:r>
        <w:rPr>
          <w:i/>
          <w:iCs/>
        </w:rPr>
        <w:t xml:space="preserve">Paciente: Claudia Pfeng González · SCA — Alma, Escriba del SCA</w:t>
      </w:r>
    </w:p>
    <w:p/>
    <w:p>
      <w:r>
        <w:rPr>
          <w:i/>
          <w:iCs/>
          <w:sz w:val="20"/>
          <w:szCs w:val="20"/>
        </w:rPr>
        <w:t xml:space="preserve">Nota metodológica: 3 sesiones (03·04·26, 17·04·26 y 24·04·26), tareas cosechadas directamente de las transcripciones. Se excluyeron tramos extensos centrados en el avance de la investigación/tesis de Pepa y contenido compartido por ella sobre su propia historia (marcado internamente como 'María José comparte', no atribuible a Claudia). La sesión del 17·04 es de alta densidad clínica: se nombra por primera vez de forma explícita la vivencia de abuso de poder y violencia de silencio en el sistema familiar de origen.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  <w:gridCol w:w="6000"/>
      </w:tblGrid>
      <w:tr>
        <w:tc>
          <w:tcPr>
            <w:tcW w:type="dxa" w:w="2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Fecha / Sesión</w:t>
            </w:r>
          </w:p>
        </w:tc>
        <w:tc>
          <w:tcPr>
            <w:tcW w:type="dxa" w:w="6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Tarea (cosechada de transcripción)</w:t>
            </w:r>
          </w:p>
        </w:tc>
        <w:tc>
          <w:tcPr>
            <w:tcW w:type="dxa" w:w="6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Material Pilar I asociado y justificación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03·04·26</w:t>
            </w:r>
          </w:p>
        </w:tc>
        <w:tc>
          <w:tcPr>
            <w:tcW w:type="dxa" w:w="6200"/>
            <w:vAlign w:val="center"/>
          </w:tcPr>
          <w:p>
            <w:r>
              <w:t xml:space="preserve">Dejarse ver cansada/agotada frente a la familia en vez de ocultarlo, sin sobrecompensar supliendo de inmediato lo que falta en la casa (pan, yogurt) — permitir que la propia visibilidad del cansancio active la corresponsabilidad de los demás.</w:t>
            </w:r>
          </w:p>
        </w:tc>
        <w:tc>
          <w:tcPr>
            <w:tcW w:type="dxa" w:w="6000"/>
            <w:vAlign w:val="center"/>
          </w:tcPr>
          <w:p>
            <w:r>
              <w:t xml:space="preserve">E-book Libérate de la Víctima que habita en ti — capítulo Bondad (Postergación-Sacrificio). Continuidad del 01·08·25.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03·04·26</w:t>
            </w:r>
          </w:p>
        </w:tc>
        <w:tc>
          <w:tcPr>
            <w:tcW w:type="dxa" w:w="6200"/>
            <w:vAlign w:val="center"/>
          </w:tcPr>
          <w:p>
            <w:r>
              <w:t xml:space="preserve">Dejar que los hijos enfrenten la consecuencia natural de no organizar su ropa u obligaciones simples (ir con ropa arrugada, no resolverlo ella) en vez de anticiparse a resolverlo.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T1 · Ser Hijo/Hija — soltar el rol de sostenedora. Continuidad del 01·08·25 (no anticiparse a dar todo).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03·04·26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el ritual simbólico de Semana Santa propuesto en sesión: identificar qué 'versión' de sí misma quiere dejar morir y cuál quiere que 'resucite' renovada, como ejercicio de cierre de ciclo.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el perdón y el cierre simbólico de ciclo.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17·04·26</w:t>
            </w:r>
          </w:p>
        </w:tc>
        <w:tc>
          <w:tcPr>
            <w:tcW w:type="dxa" w:w="6200"/>
            <w:vAlign w:val="center"/>
          </w:tcPr>
          <w:p>
            <w:r>
              <w:t xml:space="preserve">Permitirse llorar y liberar la emoción retenida en la garganta en vez de contenerla viendo el llanto como debilidad — reconocer que reprimirla es usar de nuevo la misma solución del pasado.</w:t>
            </w:r>
          </w:p>
        </w:tc>
        <w:tc>
          <w:tcPr>
            <w:tcW w:type="dxa" w:w="6000"/>
            <w:vAlign w:val="center"/>
          </w:tcPr>
          <w:p>
            <w:r>
              <w:t xml:space="preserve">Guía 4 · Cómo se transmite el trauma sin palabras — el cuerpo (la garganta) como canal.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17·04·26</w:t>
            </w:r>
          </w:p>
        </w:tc>
        <w:tc>
          <w:tcPr>
            <w:tcW w:type="dxa" w:w="6200"/>
            <w:vAlign w:val="center"/>
          </w:tcPr>
          <w:p>
            <w:r>
              <w:t xml:space="preserve">Nombrar y reconocer el duelo del cambio: aceptar que, tras el episodio con su hermano, la familia no volverá a ser igual, en vez de mantener todo el foco puesto afuera sin procesar lo que eso remueve internamente.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el duelo como parte necesaria del proceso.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17·04·26</w:t>
            </w:r>
          </w:p>
        </w:tc>
        <w:tc>
          <w:tcPr>
            <w:tcW w:type="dxa" w:w="6200"/>
            <w:vAlign w:val="center"/>
          </w:tcPr>
          <w:p>
            <w:r>
              <w:t xml:space="preserve">Dar un significado consciente a las dos operaciones médicas de sus hijos (mandíbula de Martín, nariz de Franny) como espejo del propio sistema familiar, y explorar qué le ocurrió a ella entre los 9 y los 12 años (a partir del número espejo 21/12 detectado en sesión).</w:t>
            </w:r>
          </w:p>
        </w:tc>
        <w:tc>
          <w:tcPr>
            <w:tcW w:type="dxa" w:w="6000"/>
            <w:vAlign w:val="center"/>
          </w:tcPr>
          <w:p>
            <w:r>
              <w:t xml:space="preserve">Guía 4 · Cómo se transmite el trauma sin palabras. Taller T3 · Numerología — lectura simbólica de números que se repiten.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17·04·26</w:t>
            </w:r>
          </w:p>
        </w:tc>
        <w:tc>
          <w:tcPr>
            <w:tcW w:type="dxa" w:w="6200"/>
            <w:vAlign w:val="center"/>
          </w:tcPr>
          <w:p>
            <w:r>
              <w:t xml:space="preserve">Reconocer y nombrar que, aunque no vivió abuso sexual, sí ha vivido toda su vida un abuso de poder: violencia verbal y violencia de silencio (reconociendo que el silencio también es violento).</w:t>
            </w:r>
          </w:p>
        </w:tc>
        <w:tc>
          <w:tcPr>
            <w:tcW w:type="dxa" w:w="6000"/>
            <w:vAlign w:val="center"/>
          </w:tcPr>
          <w:p>
            <w:r>
              <w:t xml:space="preserve">Guía 4 · Cómo se transmite el trauma sin palabras. Taller T7 · Crímenes sin resolver.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17·04·26</w:t>
            </w:r>
          </w:p>
        </w:tc>
        <w:tc>
          <w:tcPr>
            <w:tcW w:type="dxa" w:w="6200"/>
            <w:vAlign w:val="center"/>
          </w:tcPr>
          <w:p>
            <w:r>
              <w:t xml:space="preserve">Considerar el ritual de la confesión (dado que asiste a misa) como forma simbólica de decir en voz alta lo que nunca se ha atrevido a decir, incluyendo la ambivalencia de amor y rabia hacia su madre conviviendo a la vez.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el perdón y la confesión como cierre.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17·04·26</w:t>
            </w:r>
          </w:p>
        </w:tc>
        <w:tc>
          <w:tcPr>
            <w:tcW w:type="dxa" w:w="6200"/>
            <w:vAlign w:val="center"/>
          </w:tcPr>
          <w:p>
            <w:r>
              <w:t xml:space="preserve">Validar, sin pelear ni exigirle comprensión adulta, a la parte de sí misma más pequeña/adolescente que aparece con juicios muy duros hacia figuras familiares (ej. su suegra) — reconocerla como una voz más, no como toda ella.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T6 · Salón de Espejos — identificación amorosa de las distintas personalidades internas.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24·04·26</w:t>
            </w:r>
          </w:p>
        </w:tc>
        <w:tc>
          <w:tcPr>
            <w:tcW w:type="dxa" w:w="6200"/>
            <w:vAlign w:val="center"/>
          </w:tcPr>
          <w:p>
            <w:r>
              <w:t xml:space="preserve">Salir a comer con Martín, escucharlo y apoyar concretamente su interés por estudiar teatro, en vez de imponerle el mandato familiar de 'estudiar algo que dé dinero' — reconociendo el paralelo directo con la vocación frustrada de una generación anterior por mandato económico.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T2 · Nuevo Arquetipo — romper conscientemente el mandato heredado. Guía 4 · Cómo se transmite el trauma sin palabras.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24·04·26</w:t>
            </w:r>
          </w:p>
        </w:tc>
        <w:tc>
          <w:tcPr>
            <w:tcW w:type="dxa" w:w="6200"/>
            <w:vAlign w:val="center"/>
          </w:tcPr>
          <w:p>
            <w:r>
              <w:t xml:space="preserve">Revisar la creencia de que los hijos deben estudiar necesariamente algo 'rentable': reconocer que el miedo económico que ella siente es heredado de una situación de supervivencia real de otra generación, y que hoy no aplica de la misma forma.</w:t>
            </w:r>
          </w:p>
        </w:tc>
        <w:tc>
          <w:tcPr>
            <w:tcW w:type="dxa" w:w="6000"/>
            <w:vAlign w:val="center"/>
          </w:tcPr>
          <w:p>
            <w:r>
              <w:t xml:space="preserve">Guía 3 · El dinero como herida y no como solución.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24·04·26</w:t>
            </w:r>
          </w:p>
        </w:tc>
        <w:tc>
          <w:tcPr>
            <w:tcW w:type="dxa" w:w="6200"/>
            <w:vAlign w:val="center"/>
          </w:tcPr>
          <w:p>
            <w:r>
              <w:t xml:space="preserve">Hablar directamente con su padre mientras aún es posible, sin gritarle aunque esté con dificultades auditivas — si es necesario, escribirle una carta, dejando que la niña pequeña en ella diga lo que necesite decir.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sanar. Taller T1 · Ser Hijo/Hija.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2026-07-25T16:53:51.075Z</dcterms:created>
  <dcterms:modified xsi:type="dcterms:W3CDTF">2026-07-25T16:53:51.075Z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