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Tareas cronológicas · Bloque Febrero 2026</w:t>
      </w:r>
    </w:p>
    <w:p>
      <w:r>
        <w:rPr>
          <w:i/>
          <w:iCs/>
        </w:rPr>
        <w:t xml:space="preserve">Paciente: Claudia Pfeng González · SCA — Alma, Escriba del SCA</w:t>
      </w:r>
    </w:p>
    <w:p/>
    <w:p>
      <w:r>
        <w:rPr>
          <w:i/>
          <w:iCs/>
          <w:sz w:val="20"/>
          <w:szCs w:val="20"/>
        </w:rPr>
        <w:t xml:space="preserve">Nota metodológica: 1 sesión en este bloque (28·02·26, registrada en dos partes por corte de llamada). Sesión centrada en un episodio familiar de violencia verbal entre su cuñado y su hermano (con contenido de salud mental de este último) y su paralelismo con la dinámica materna. Tareas cosechadas directamente de la transcripción, sin resumen de WhatsApp disponible.</w:t>
      </w:r>
    </w:p>
    <w:p/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00"/>
        <w:gridCol w:w="6000"/>
      </w:tblGrid>
      <w:tr>
        <w:tc>
          <w:tcPr>
            <w:tcW w:type="dxa" w:w="22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Fecha / Sesión</w:t>
            </w:r>
          </w:p>
        </w:tc>
        <w:tc>
          <w:tcPr>
            <w:tcW w:type="dxa" w:w="62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Tarea (cosechada de transcripción)</w:t>
            </w:r>
          </w:p>
        </w:tc>
        <w:tc>
          <w:tcPr>
            <w:tcW w:type="dxa" w:w="60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Material Pilar I asociado y justificación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28·02·26</w:t>
            </w:r>
          </w:p>
        </w:tc>
        <w:tc>
          <w:tcPr>
            <w:tcW w:type="dxa" w:w="6200"/>
            <w:vAlign w:val="center"/>
          </w:tcPr>
          <w:p>
            <w:r>
              <w:t xml:space="preserve">Reconocer y aceptar conscientemente el patrón de evitación de conflicto ('cobardía', en sus propias palabras) que identifica en sí misma en el trabajo, con Francisco, con su hermano y con su madre — el primer paso no es dejar de sentirlo, sino aceptarlo plenamente sin juzgarse por ello, para salir de la incoherencia entre lo que piensa y lo que hace.</w:t>
            </w:r>
          </w:p>
        </w:tc>
        <w:tc>
          <w:tcPr>
            <w:tcW w:type="dxa" w:w="6000"/>
            <w:vAlign w:val="center"/>
          </w:tcPr>
          <w:p>
            <w:r>
              <w:t xml:space="preserve">E-book Libérate de la Víctima que habita en ti — Conflicto de Identidad (¿Quién soy?). Guía 1 · Terminar con la compulsión de sanar.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28·02·26</w:t>
            </w:r>
          </w:p>
        </w:tc>
        <w:tc>
          <w:tcPr>
            <w:tcW w:type="dxa" w:w="6200"/>
            <w:vAlign w:val="center"/>
          </w:tcPr>
          <w:p>
            <w:r>
              <w:t xml:space="preserve">Antes de conversar con Francisco sobre el límite familiar con su hermano, hacer primero el trabajo interno: identificar sus propias excusas, miedos y 'peros', para actuar desde su propia coherencia y no esperar que otro (Francisco, su hermana, la propia terapeuta) le diga qué hacer o la valide.</w:t>
            </w:r>
          </w:p>
        </w:tc>
        <w:tc>
          <w:tcPr>
            <w:tcW w:type="dxa" w:w="6000"/>
            <w:vAlign w:val="center"/>
          </w:tcPr>
          <w:p>
            <w:r>
              <w:t xml:space="preserve">E-book Libérate de la Víctima que habita en ti — capítulo Desvalorización. Guía 5 · El laberinto que tú mismo construiste.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28·02·26</w:t>
            </w:r>
          </w:p>
        </w:tc>
        <w:tc>
          <w:tcPr>
            <w:tcW w:type="dxa" w:w="6200"/>
            <w:vAlign w:val="center"/>
          </w:tcPr>
          <w:p>
            <w:r>
              <w:t xml:space="preserve">Conversar con Francisco desde su propio sentir —no buscando que él decida por ella—: decirle explícitamente que ya no quiere sostener la dinámica actual con su hermano, y pedirle construir juntos, como pareja, un plan concreto de límite (por ejemplo, condicionar la invitación a eventos familiares en su casa al cambio de actitud del hermano).</w:t>
            </w:r>
          </w:p>
        </w:tc>
        <w:tc>
          <w:tcPr>
            <w:tcW w:type="dxa" w:w="6000"/>
            <w:vAlign w:val="center"/>
          </w:tcPr>
          <w:p>
            <w:r>
              <w:t xml:space="preserve">E-book Libérate de la Víctima que habita en ti — capítulo Ausencia de Límites Saludables.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28·02·26</w:t>
            </w:r>
          </w:p>
        </w:tc>
        <w:tc>
          <w:tcPr>
            <w:tcW w:type="dxa" w:w="6200"/>
            <w:vAlign w:val="center"/>
          </w:tcPr>
          <w:p>
            <w:r>
              <w:t xml:space="preserve">Practicar la distinción entre aceptar a una persona como es y aceptar su conducta dentro del propio hogar: 'te acepto y te quiero como eres, pero en mi casa no' — aplicar este principio concretamente con su hermano.</w:t>
            </w:r>
          </w:p>
        </w:tc>
        <w:tc>
          <w:tcPr>
            <w:tcW w:type="dxa" w:w="6000"/>
            <w:vAlign w:val="center"/>
          </w:tcPr>
          <w:p>
            <w:r>
              <w:t xml:space="preserve">Guía 2 · El virus de la víctima-victimario-salvador. Taller T4 · Víctima.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28·02·26</w:t>
            </w:r>
          </w:p>
        </w:tc>
        <w:tc>
          <w:tcPr>
            <w:tcW w:type="dxa" w:w="6200"/>
            <w:vAlign w:val="center"/>
          </w:tcPr>
          <w:p>
            <w:r>
              <w:t xml:space="preserve">Reconocer que reproduce con Martín el mismo patrón de su madre con su hermano Cristián (sobreprotección constante, colocarlo en el lugar de víctima permanente) — y que mantener el conflicto familiar como 'secreto a voces' es exactamente lo que se transmite, sin nombrarlo, a la siguiente generación.</w:t>
            </w:r>
          </w:p>
        </w:tc>
        <w:tc>
          <w:tcPr>
            <w:tcW w:type="dxa" w:w="6000"/>
            <w:vAlign w:val="center"/>
          </w:tcPr>
          <w:p>
            <w:r>
              <w:t xml:space="preserve">Taller T1 · Ser Hijo/Hija. Guía 4 · Cómo se transmite el trauma sin palabras. Continuidad directa del patrón identificado el 21·10·25 y el 26·12·25.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28·02·26</w:t>
            </w:r>
          </w:p>
        </w:tc>
        <w:tc>
          <w:tcPr>
            <w:tcW w:type="dxa" w:w="6200"/>
            <w:vAlign w:val="center"/>
          </w:tcPr>
          <w:p>
            <w:r>
              <w:t xml:space="preserve">Considerar que Martín reciba apoyo terapéutico sostenido en el tiempo (no solo puntual) para trabajar su educación emocional, en vez de esperar a que llegue a un quiebre mayor para actuar.</w:t>
            </w:r>
          </w:p>
        </w:tc>
        <w:tc>
          <w:tcPr>
            <w:tcW w:type="dxa" w:w="6000"/>
            <w:vAlign w:val="center"/>
          </w:tcPr>
          <w:p>
            <w:r>
              <w:t xml:space="preserve">Sin asociación directa en Pilar I — recomendación clínica de derivación.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2026-07-25T16:49:12.993Z</dcterms:created>
  <dcterms:modified xsi:type="dcterms:W3CDTF">2026-07-25T16:49:13.011Z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