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Tareas cronológicas · Bloque Mayo 2026</w:t>
      </w:r>
    </w:p>
    <w:p>
      <w:r>
        <w:rPr>
          <w:i/>
          <w:iCs/>
        </w:rPr>
        <w:t xml:space="preserve">Paciente: Claudia Pfeng González · SCA — Alma, Escriba del SCA</w:t>
      </w:r>
    </w:p>
    <w:p/>
    <w:p>
      <w:r>
        <w:rPr>
          <w:i/>
          <w:iCs/>
          <w:sz w:val="20"/>
          <w:szCs w:val="20"/>
        </w:rPr>
        <w:t xml:space="preserve">Nota metodológica: 1 sesión en este bloque (29·05·26), tras un mes de pausa por enfermedad de Claudia. Sesión de alta densidad clínica: se nombra explícitamente el término 'abuso' respecto de la historia familiar de origen y se enumeran múltiples síntomas físicos crónicos que Claudia asocia a esa historia sostenida en silencio. Por la sensibilidad del contenido, las tareas se registran a nivel de patrón general (silencio, vergüenza, perdón) sin detallar lo revelado en sesión. Se sugiere revisión directa de Pepa sobre este bloque.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  <w:gridCol w:w="6000"/>
      </w:tblGrid>
      <w:tr>
        <w:tc>
          <w:tcPr>
            <w:tcW w:type="dxa" w:w="2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Fecha / Sesión</w:t>
            </w:r>
          </w:p>
        </w:tc>
        <w:tc>
          <w:tcPr>
            <w:tcW w:type="dxa" w:w="6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Tarea (cosechada de transcripción)</w:t>
            </w:r>
          </w:p>
        </w:tc>
        <w:tc>
          <w:tcPr>
            <w:tcW w:type="dxa" w:w="6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Material Pilar I asociado y justificación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29·05·26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el perdón también hacia afuera, no solo el autoperdón constante hacia adentro — cuidar que el autoperdón repetitivo no se convierta en otra forma de autoexigencia o autocastigo encubierto.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el perdón como higiene, no como nueva forma de exigencia.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29·05·26</w:t>
            </w:r>
          </w:p>
        </w:tc>
        <w:tc>
          <w:tcPr>
            <w:tcW w:type="dxa" w:w="6200"/>
            <w:vAlign w:val="center"/>
          </w:tcPr>
          <w:p>
            <w:r>
              <w:t xml:space="preserve">Reconocer el paralelo directo entre el conflicto laboral (no informar a tiempo a una colega sobre un acuerdo importante, por miedo a ser vista como la que 'levanta la alarma') y el patrón familiar de sostener silencios que después se le terminan atribuyendo a ella sola como responsabilidad.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T1 · Ser Hijo/Hija. Guía 4 · Cómo se transmite el trauma sin palabras — el mismo patrón replicado en sistemas distintos (familia y trabajo).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29·05·26</w:t>
            </w:r>
          </w:p>
        </w:tc>
        <w:tc>
          <w:tcPr>
            <w:tcW w:type="dxa" w:w="6200"/>
            <w:vAlign w:val="center"/>
          </w:tcPr>
          <w:p>
            <w:r>
              <w:t xml:space="preserve">Seguir respaldándose en hechos concretos (correos, evidencia escrita) cuando el sistema intenta atribuirle una culpa colectiva a ella sola, reconociendo que puede sostenerse en lo objetivo sin necesitar la aprobación de todos.</w:t>
            </w:r>
          </w:p>
        </w:tc>
        <w:tc>
          <w:tcPr>
            <w:tcW w:type="dxa" w:w="6000"/>
            <w:vAlign w:val="center"/>
          </w:tcPr>
          <w:p>
            <w:r>
              <w:t xml:space="preserve">Guía 2 · El virus de la víctima-victimario-salvador — salir de la necesidad de validación externa.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29·05·26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hablar sabiendo con claridad 'en qué territorio' está hablando en cada momento (trabajo o familia), eligiendo el tono y la extensión del mensaje de forma consciente, sin dejar que el miedo la lleve a decir de más o quedarse callada de más.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T4 · Víctima — la acción medida y consciente frente al conflicto.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29·05·26</w:t>
            </w:r>
          </w:p>
        </w:tc>
        <w:tc>
          <w:tcPr>
            <w:tcW w:type="dxa" w:w="6200"/>
            <w:vAlign w:val="center"/>
          </w:tcPr>
          <w:p>
            <w:r>
              <w:t xml:space="preserve">Trabajar la vergüenza como información y no como identidad: reconocer que no es la vergüenza por un error puntual, sino por sostener conscientemente patrones que sabe que le hacen daño sin actuar sobre ellos.</w:t>
            </w:r>
          </w:p>
        </w:tc>
        <w:tc>
          <w:tcPr>
            <w:tcW w:type="dxa" w:w="6000"/>
            <w:vAlign w:val="center"/>
          </w:tcPr>
          <w:p>
            <w:r>
              <w:t xml:space="preserve">Guía 6 · Los pecados capitales — el impulso como información a transformar.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29·05·26</w:t>
            </w:r>
          </w:p>
        </w:tc>
        <w:tc>
          <w:tcPr>
            <w:tcW w:type="dxa" w:w="6200"/>
            <w:vAlign w:val="center"/>
          </w:tcPr>
          <w:p>
            <w:r>
              <w:t xml:space="preserve">Enviar el audio pendiente contándole a Pepa lo que necesitaba decir, sin seguir posponiéndolo.</w:t>
            </w:r>
          </w:p>
        </w:tc>
        <w:tc>
          <w:tcPr>
            <w:tcW w:type="dxa" w:w="6000"/>
            <w:vAlign w:val="center"/>
          </w:tcPr>
          <w:p>
            <w:r>
              <w:t xml:space="preserve">Metodología general SCA. Continuidad directa de la práctica sugerida el 20·03·26 (grabar de inmediato lo que emerge).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2026-07-25T16:55:33.309Z</dcterms:created>
  <dcterms:modified xsi:type="dcterms:W3CDTF">2026-07-25T16:55:33.309Z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