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2"/>
          <w:szCs w:val="52"/>
        </w:rPr>
        <w:t xml:space="preserve">POR QUÉ SEGUIMOS</w:t>
      </w:r>
    </w:p>
    <w:p>
      <w:pPr>
        <w:spacing w:after="400" w:before="0"/>
        <w:jc w:val="center"/>
      </w:pPr>
      <w:r>
        <w:rPr>
          <w:rFonts w:ascii="Arial" w:cs="Arial" w:eastAsia="Arial" w:hAnsi="Arial"/>
          <w:b/>
          <w:bCs/>
          <w:color w:val="C9A84C"/>
          <w:sz w:val="52"/>
          <w:szCs w:val="52"/>
        </w:rPr>
        <w:t xml:space="preserve">ELIGIENDO LO MISMO EN PAREJA</w:t>
      </w:r>
    </w:p>
    <w:p>
      <w:pPr>
        <w:pBdr>
          <w:bottom w:val="single" w:color="C9A84C" w:sz="6" w:space="1"/>
        </w:pBdr>
        <w:spacing w:after="200" w:before="0"/>
        <w:jc w:val="center"/>
      </w:pPr>
    </w:p>
    <w:p>
      <w:pPr>
        <w:spacing w:after="120" w:before="320"/>
        <w:jc w:val="center"/>
      </w:pPr>
      <w:r>
        <w:rPr>
          <w:rFonts w:ascii="Arial" w:cs="Arial" w:eastAsia="Arial" w:hAnsi="Arial"/>
          <w:color w:val="1F3864"/>
          <w:sz w:val="24"/>
          <w:szCs w:val="24"/>
        </w:rPr>
        <w:t xml:space="preserve">Una guía de</w:t>
      </w:r>
    </w:p>
    <w:p>
      <w:pPr>
        <w:spacing w:after="120" w:before="0"/>
        <w:jc w:val="center"/>
      </w:pPr>
      <w:r>
        <w:rPr>
          <w:rFonts w:ascii="Arial" w:cs="Arial" w:eastAsia="Arial" w:hAnsi="Arial"/>
          <w:b/>
          <w:bCs/>
          <w:color w:val="1F3864"/>
          <w:sz w:val="28"/>
          <w:szCs w:val="28"/>
        </w:rPr>
        <w:t xml:space="preserve">María José Tardón García</w:t>
      </w:r>
    </w:p>
    <w:p>
      <w:pPr>
        <w:spacing w:after="600" w:before="0"/>
        <w:jc w:val="center"/>
      </w:pPr>
      <w:r>
        <w:rPr>
          <w:rFonts w:ascii="Arial" w:cs="Arial" w:eastAsia="Arial" w:hAnsi="Arial"/>
          <w:color w:val="C9A84C"/>
          <w:sz w:val="22"/>
          <w:szCs w:val="22"/>
        </w:rPr>
        <w:t xml:space="preserve">Sistema Científico del Alma  ·  @efdalma</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Introducción</w:t>
      </w:r>
    </w:p>
    <w:p>
      <w:pPr>
        <w:spacing w:after="120" w:before="120"/>
        <w:jc w:val="both"/>
      </w:pPr>
      <w:r>
        <w:rPr>
          <w:rFonts w:ascii="Arial" w:cs="Arial" w:eastAsia="Arial" w:hAnsi="Arial"/>
          <w:sz w:val="24"/>
          <w:szCs w:val="24"/>
        </w:rPr>
        <w:t xml:space="preserve">Hay personas que cambian de pareja y terminan con alguien idéntico a la anterior. El nombre es diferente, la cara es diferente, la historia es diferente. Pero el patrón es el mismo.</w:t>
      </w:r>
    </w:p>
    <w:p>
      <w:pPr>
        <w:spacing w:after="120" w:before="120"/>
        <w:jc w:val="both"/>
      </w:pPr>
      <w:r>
        <w:rPr>
          <w:rFonts w:ascii="Arial" w:cs="Arial" w:eastAsia="Arial" w:hAnsi="Arial"/>
          <w:sz w:val="24"/>
          <w:szCs w:val="24"/>
        </w:rPr>
        <w:t xml:space="preserve">Eso no es mala suerte. Es física. La Ley de Vibración dice que lo similar atrae a lo similar. Si la frecuencia interna no cambia, el resultado externo tampoco cambia — aunque la escenografía sea completamente distinta.</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Para cambiar el vínculo hay que cambiar la frecuencia propia. El simulacro interno: convertirse en la frecuencia que se quiere atraer antes de que llegue.</w:t>
      </w:r>
    </w:p>
    <w:p>
      <w:pPr>
        <w:spacing w:after="120" w:before="120"/>
        <w:jc w:val="both"/>
      </w:pPr>
      <w:r>
        <w:rPr>
          <w:rFonts w:ascii="Arial" w:cs="Arial" w:eastAsia="Arial" w:hAnsi="Arial"/>
          <w:sz w:val="24"/>
          <w:szCs w:val="24"/>
        </w:rPr>
        <w:t xml:space="preserve">Esta guía no es un manual para encontrar pareja. Es una invitación a mirarte a ti antes de seguir mirando afuera.</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1</w:t>
      </w:r>
    </w:p>
    <w:p>
      <w:pPr>
        <w:pStyle w:val="Heading1"/>
        <w:spacing w:after="160" w:before="320"/>
      </w:pPr>
      <w:r>
        <w:rPr>
          <w:rFonts w:ascii="Arial" w:cs="Arial" w:eastAsia="Arial" w:hAnsi="Arial"/>
          <w:b/>
          <w:bCs/>
          <w:color w:val="1F3864"/>
        </w:rPr>
        <w:t xml:space="preserve">El mito familiar de la pareja</w:t>
      </w:r>
    </w:p>
    <w:p>
      <w:pPr>
        <w:spacing w:after="120" w:before="120"/>
        <w:jc w:val="both"/>
      </w:pPr>
      <w:r>
        <w:rPr>
          <w:rFonts w:ascii="Arial" w:cs="Arial" w:eastAsia="Arial" w:hAnsi="Arial"/>
          <w:sz w:val="24"/>
          <w:szCs w:val="24"/>
        </w:rPr>
        <w:t xml:space="preserve">Antes de elegir conscientemente, ya elegiste. Lo hiciste siguiendo el mito familiar — el conjunto de creencias sobre cómo funciona el amor que aprendiste de tu familia de origen.</w:t>
      </w:r>
    </w:p>
    <w:p>
      <w:pPr>
        <w:spacing w:after="120" w:before="120"/>
        <w:jc w:val="both"/>
      </w:pPr>
      <w:r>
        <w:rPr>
          <w:rFonts w:ascii="Arial" w:cs="Arial" w:eastAsia="Arial" w:hAnsi="Arial"/>
          <w:sz w:val="24"/>
          <w:szCs w:val="24"/>
        </w:rPr>
        <w:t xml:space="preserve">El mito familiar no viene en un manual. Viene en los modelos que viste. En cómo se trataban tus padres. En lo que se normalizó. En lo que se silenció. En lo que se dijo que era amor y en lo que se practicó como amor — que muchas veces no eran la misma cosa.</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El mito familiar dice, por ejemplo, que el hombre solo es proveedor. O que las mujeres de mi casa cuidan el dinero porque si no lo hacen el hombre se lo gasta. Eso es el mito. La realidad es que cada uno lo repite hasta que se da cuenta.</w:t>
      </w:r>
    </w:p>
    <w:p>
      <w:pPr>
        <w:spacing w:after="120" w:before="120"/>
        <w:jc w:val="both"/>
      </w:pPr>
      <w:r>
        <w:rPr>
          <w:rFonts w:ascii="Arial" w:cs="Arial" w:eastAsia="Arial" w:hAnsi="Arial"/>
          <w:sz w:val="24"/>
          <w:szCs w:val="24"/>
        </w:rPr>
        <w:t xml:space="preserve">La primera pregunta honesta antes de cualquier relación nueva es: ¿qué mandato del mito familiar estoy obedeciendo sin saberlo?</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2</w:t>
      </w:r>
    </w:p>
    <w:p>
      <w:pPr>
        <w:pStyle w:val="Heading1"/>
        <w:spacing w:after="160" w:before="320"/>
      </w:pPr>
      <w:r>
        <w:rPr>
          <w:rFonts w:ascii="Arial" w:cs="Arial" w:eastAsia="Arial" w:hAnsi="Arial"/>
          <w:b/>
          <w:bCs/>
          <w:color w:val="1F3864"/>
        </w:rPr>
        <w:t xml:space="preserve">El rápido y el lento — o por qué el ritmo importa más que el amor</w:t>
      </w:r>
    </w:p>
    <w:p>
      <w:pPr>
        <w:spacing w:after="120" w:before="120"/>
        <w:jc w:val="both"/>
      </w:pPr>
      <w:r>
        <w:rPr>
          <w:rFonts w:ascii="Arial" w:cs="Arial" w:eastAsia="Arial" w:hAnsi="Arial"/>
          <w:sz w:val="24"/>
          <w:szCs w:val="24"/>
        </w:rPr>
        <w:t xml:space="preserve">En toda relación hay un rápido y un lento. Uno que procesa velozmente, que quiere resolver, que anticipa. Y otro que necesita más tiempo, que llega después, que parece ir más despacio.</w:t>
      </w:r>
    </w:p>
    <w:p>
      <w:pPr>
        <w:spacing w:after="120" w:before="120"/>
        <w:jc w:val="both"/>
      </w:pPr>
      <w:r>
        <w:rPr>
          <w:rFonts w:ascii="Arial" w:cs="Arial" w:eastAsia="Arial" w:hAnsi="Arial"/>
          <w:sz w:val="24"/>
          <w:szCs w:val="24"/>
        </w:rPr>
        <w:t xml:space="preserve">Ninguno está mal. Pero cuando ninguno de los dos sabe que tiene un ritmo — cuando creen que el problema es el otro — la diferencia de ritmo se convierte en conflicto constante.</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El rápido y el lento no son incompatibles. Son complementarios — si se entienden. La fricción no viene del ritmo distinto. Viene de no haberlo nombrado nunca.</w:t>
      </w:r>
    </w:p>
    <w:p>
      <w:pPr>
        <w:spacing w:after="120" w:before="120"/>
        <w:jc w:val="both"/>
      </w:pPr>
      <w:r>
        <w:rPr>
          <w:rFonts w:ascii="Arial" w:cs="Arial" w:eastAsia="Arial" w:hAnsi="Arial"/>
          <w:sz w:val="24"/>
          <w:szCs w:val="24"/>
        </w:rPr>
        <w:t xml:space="preserve">Identificar tu ritmo — y el ritmo de quien tienes al lado — es una de las herramientas más simples y más poderosas que existe para una relación.</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3</w:t>
      </w:r>
    </w:p>
    <w:p>
      <w:pPr>
        <w:pStyle w:val="Heading1"/>
        <w:spacing w:after="160" w:before="320"/>
      </w:pPr>
      <w:r>
        <w:rPr>
          <w:rFonts w:ascii="Arial" w:cs="Arial" w:eastAsia="Arial" w:hAnsi="Arial"/>
          <w:b/>
          <w:bCs/>
          <w:color w:val="1F3864"/>
        </w:rPr>
        <w:t xml:space="preserve">El aburrimiento — la mayor amenaza silenciosa</w:t>
      </w:r>
    </w:p>
    <w:p>
      <w:pPr>
        <w:spacing w:after="120" w:before="120"/>
        <w:jc w:val="both"/>
      </w:pPr>
      <w:r>
        <w:rPr>
          <w:rFonts w:ascii="Arial" w:cs="Arial" w:eastAsia="Arial" w:hAnsi="Arial"/>
          <w:sz w:val="24"/>
          <w:szCs w:val="24"/>
        </w:rPr>
        <w:t xml:space="preserve">No es la infidelidad la que termina con las relaciones. Es el aburrimiento. La infidelidad es un síntoma. El aburrimiento es la causa.</w:t>
      </w:r>
    </w:p>
    <w:p>
      <w:pPr>
        <w:spacing w:after="120" w:before="120"/>
        <w:jc w:val="both"/>
      </w:pPr>
      <w:r>
        <w:rPr>
          <w:rFonts w:ascii="Arial" w:cs="Arial" w:eastAsia="Arial" w:hAnsi="Arial"/>
          <w:sz w:val="24"/>
          <w:szCs w:val="24"/>
        </w:rPr>
        <w:t xml:space="preserve">El aburrimiento en la pareja no es falta de amor. Es falta de novedad. Es quedarse en el mismo personaje, con el mismo guión, en los mismos escenarios, hasta que el otro se vuelve tan predecible que ya no genera nada.</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pareja como compañerismo, trabajo en equipo y aventura de la vida — no como necesidad ni como estructura obligatoria. La aventura no es infidelidad. Es seguir descubriendo al otro.</w:t>
      </w:r>
    </w:p>
    <w:p>
      <w:pPr>
        <w:spacing w:after="120" w:before="120"/>
        <w:jc w:val="both"/>
      </w:pPr>
      <w:r>
        <w:rPr>
          <w:rFonts w:ascii="Arial" w:cs="Arial" w:eastAsia="Arial" w:hAnsi="Arial"/>
          <w:sz w:val="24"/>
          <w:szCs w:val="24"/>
        </w:rPr>
        <w:t xml:space="preserve">La pregunta que sostiene una relación no es ¿te amo? Es ¿te sigo eligiendo? ¿Hoy, con todo lo que sé, te elegiría de nuevo?</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4</w:t>
      </w:r>
    </w:p>
    <w:p>
      <w:pPr>
        <w:pStyle w:val="Heading1"/>
        <w:spacing w:after="160" w:before="320"/>
      </w:pPr>
      <w:r>
        <w:rPr>
          <w:rFonts w:ascii="Arial" w:cs="Arial" w:eastAsia="Arial" w:hAnsi="Arial"/>
          <w:b/>
          <w:bCs/>
          <w:color w:val="1F3864"/>
        </w:rPr>
        <w:t xml:space="preserve">La reunión semanal — la herramienta más simple que existe</w:t>
      </w:r>
    </w:p>
    <w:p>
      <w:pPr>
        <w:spacing w:after="120" w:before="120"/>
        <w:jc w:val="both"/>
      </w:pPr>
      <w:r>
        <w:rPr>
          <w:rFonts w:ascii="Arial" w:cs="Arial" w:eastAsia="Arial" w:hAnsi="Arial"/>
          <w:sz w:val="24"/>
          <w:szCs w:val="24"/>
        </w:rPr>
        <w:t xml:space="preserve">La comunicación en la pareja no se improvisa. Se construye. Y la manera más concreta de construirla es tener un tiempo fijo — semanal, ritual — para hablar de lo que importa.</w:t>
      </w:r>
    </w:p>
    <w:p>
      <w:pPr>
        <w:spacing w:after="120" w:before="120"/>
        <w:jc w:val="both"/>
      </w:pPr>
      <w:r>
        <w:rPr>
          <w:rFonts w:ascii="Arial" w:cs="Arial" w:eastAsia="Arial" w:hAnsi="Arial"/>
          <w:sz w:val="24"/>
          <w:szCs w:val="24"/>
        </w:rPr>
        <w:t xml:space="preserve">No una pelea. No una crisis. Un tiempo elegido, con algo rico para tomar, donde se habla de dinero, de acuerdos, de planes, de incomodidades — antes de que se acumulen.</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desconfianza es la raíz de todas las mentiras en la pareja. Mentir en cosas ridículas es síntoma de un modelo de vínculo que no tiene la transparencia como base. Si hay que estar mintiendo, ¿para qué estar en pareja?</w:t>
      </w:r>
    </w:p>
    <w:p>
      <w:pPr>
        <w:spacing w:after="120" w:before="120"/>
        <w:jc w:val="both"/>
      </w:pPr>
      <w:r>
        <w:rPr>
          <w:rFonts w:ascii="Arial" w:cs="Arial" w:eastAsia="Arial" w:hAnsi="Arial"/>
          <w:sz w:val="24"/>
          <w:szCs w:val="24"/>
        </w:rPr>
        <w:t xml:space="preserve">La pareja no se trabaja cuando ya está rota. Se trabaja antes. Preventivamente. Como todo lo que importa.</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¿Qué sigue?</w:t>
      </w:r>
    </w:p>
    <w:p>
      <w:pPr>
        <w:spacing w:after="120" w:before="120"/>
        <w:jc w:val="both"/>
      </w:pPr>
      <w:r>
        <w:rPr>
          <w:rFonts w:ascii="Arial" w:cs="Arial" w:eastAsia="Arial" w:hAnsi="Arial"/>
          <w:sz w:val="24"/>
          <w:szCs w:val="24"/>
        </w:rPr>
        <w:t xml:space="preserve">Si algo en esta guía te movió, no lo racionalices todavía. Déjalo estar.</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guía que sigue se llama Lo que nadie te dijo sobre el perdón. En la pareja — y en todas las relaciones — el perdón es la herramienta que desbloquea lo que ninguna conversación puede resolver.</w:t>
      </w:r>
    </w:p>
    <w:p>
      <w:pPr>
        <w:pBdr>
          <w:bottom w:val="single" w:color="C9A84C" w:sz="4" w:space="1"/>
        </w:pBdr>
        <w:spacing w:after="200" w:before="200"/>
      </w:pPr>
    </w:p>
    <w:p>
      <w:pPr>
        <w:spacing w:after="80" w:before="320"/>
        <w:jc w:val="center"/>
      </w:pPr>
      <w:r>
        <w:rPr>
          <w:rFonts w:ascii="Arial" w:cs="Arial" w:eastAsia="Arial" w:hAnsi="Arial"/>
          <w:b/>
          <w:bCs/>
          <w:color w:val="1F3864"/>
          <w:sz w:val="24"/>
          <w:szCs w:val="24"/>
        </w:rPr>
        <w:t xml:space="preserve">María José Tardón García</w:t>
      </w:r>
    </w:p>
    <w:p>
      <w:pPr>
        <w:spacing w:after="80" w:before="0"/>
        <w:jc w:val="center"/>
      </w:pPr>
      <w:r>
        <w:rPr>
          <w:rFonts w:ascii="Arial" w:cs="Arial" w:eastAsia="Arial" w:hAnsi="Arial"/>
          <w:color w:val="C9A84C"/>
          <w:sz w:val="22"/>
          <w:szCs w:val="22"/>
        </w:rPr>
        <w:t xml:space="preserve">Sistema Científico del Alma</w:t>
      </w:r>
    </w:p>
    <w:p>
      <w:pPr>
        <w:spacing w:after="80" w:before="0"/>
        <w:jc w:val="center"/>
      </w:pPr>
      <w:r>
        <w:rPr>
          <w:rFonts w:ascii="Arial" w:cs="Arial" w:eastAsia="Arial" w:hAnsi="Arial"/>
          <w:color w:val="2E75B6"/>
          <w:sz w:val="22"/>
          <w:szCs w:val="22"/>
        </w:rPr>
        <w:t xml:space="preserve">@efdalma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80"/>
    </w:pPr>
    <w:r>
      <w:rPr>
        <w:rFonts w:ascii="Arial" w:cs="Arial" w:eastAsia="Arial" w:hAnsi="Arial"/>
        <w:color w:val="1F3864"/>
        <w:sz w:val="18"/>
        <w:szCs w:val="18"/>
      </w:rPr>
      <w:t xml:space="preserve">María José Tardón García  ·  Sistema Científico del Alma  ·  </w:t>
    </w:r>
    <w:r>
      <w:rPr>
        <w:rFonts w:ascii="Arial" w:cs="Arial" w:eastAsia="Arial" w:hAnsi="Arial"/>
        <w:color w:val="C9A84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pPr>
    <w:r>
      <w:rPr>
        <w:rFonts w:ascii="Arial" w:cs="Arial" w:eastAsia="Arial" w:hAnsi="Arial"/>
        <w:b/>
        <w:bCs/>
        <w:color w:val="1F3864"/>
        <w:sz w:val="18"/>
        <w:szCs w:val="18"/>
      </w:rPr>
      <w:t xml:space="preserve">POR QUÉ SEGUIMOS ELIGIENDO LO MISMO EN PAREJA</w:t>
    </w:r>
    <w:r>
      <w:rPr>
        <w:rFonts w:ascii="Arial" w:cs="Arial" w:eastAsia="Arial" w:hAnsi="Arial"/>
        <w:color w:val="C9A84C"/>
        <w:sz w:val="18"/>
        <w:szCs w:val="18"/>
      </w:rPr>
      <w:t xml:space="preserve">   ·   @efdalma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2026-04-23T01:42:25.031Z</dcterms:created>
  <dcterms:modified xsi:type="dcterms:W3CDTF">2026-04-23T01:42:25.031Z</dcterms:modified>
</cp:coreProperties>
</file>

<file path=docProps/custom.xml><?xml version="1.0" encoding="utf-8"?>
<Properties xmlns="http://schemas.openxmlformats.org/officeDocument/2006/custom-properties" xmlns:vt="http://schemas.openxmlformats.org/officeDocument/2006/docPropsVTypes"/>
</file>