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EL MIEDO A MORIR</w:t>
      </w:r>
    </w:p>
    <w:p>
      <w:pPr>
        <w:spacing w:after="400" w:before="0"/>
        <w:jc w:val="center"/>
      </w:pPr>
      <w:r>
        <w:rPr>
          <w:rFonts w:ascii="Arial" w:cs="Arial" w:eastAsia="Arial" w:hAnsi="Arial"/>
          <w:b/>
          <w:bCs/>
          <w:color w:val="C9A84C"/>
          <w:sz w:val="52"/>
          <w:szCs w:val="52"/>
        </w:rPr>
        <w:t xml:space="preserve">Y CÓMO TE ROBA LA VIDA</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Hay un miedo que está detrás de casi todos los demás. El miedo a morir. A dejar de existir. A que esto termine.</w:t>
      </w:r>
    </w:p>
    <w:p>
      <w:pPr>
        <w:spacing w:after="120" w:before="120"/>
        <w:jc w:val="both"/>
      </w:pPr>
      <w:r>
        <w:rPr>
          <w:rFonts w:ascii="Arial" w:cs="Arial" w:eastAsia="Arial" w:hAnsi="Arial"/>
          <w:sz w:val="24"/>
          <w:szCs w:val="24"/>
        </w:rPr>
        <w:t xml:space="preserve">Es el miedo más antiguo y más universal. Y también el más mal gestionado. Porque la mayoría de las personas no lo miran de frente — lo evitan. Y lo que se evita no desaparece. Se convierte en el filtro desde el que se vive.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miedo a morir, cuando no se integra, se convierte en miedo a vivir. Porque vivir de verdad implica riesgo, implica pérdida, implica que las cosas importantes pueden terminar. Y ante eso, el sistema prefiere no empezar.</w:t>
      </w:r>
    </w:p>
    <w:p>
      <w:pPr>
        <w:spacing w:after="120" w:before="120"/>
        <w:jc w:val="both"/>
      </w:pPr>
      <w:r>
        <w:rPr>
          <w:rFonts w:ascii="Arial" w:cs="Arial" w:eastAsia="Arial" w:hAnsi="Arial"/>
          <w:sz w:val="24"/>
          <w:szCs w:val="24"/>
        </w:rPr>
        <w:t xml:space="preserve">Esta guía no pretende eliminar el miedo a la muerte. Pretende mirarlo lo suficiente como para que deje de gobernar desde las sombras.</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Cómo el miedo a morir se disfraza en la vida cotidiana</w:t>
      </w:r>
    </w:p>
    <w:p>
      <w:pPr>
        <w:spacing w:after="120" w:before="120"/>
        <w:jc w:val="both"/>
      </w:pPr>
      <w:r>
        <w:rPr>
          <w:rFonts w:ascii="Arial" w:cs="Arial" w:eastAsia="Arial" w:hAnsi="Arial"/>
          <w:sz w:val="24"/>
          <w:szCs w:val="24"/>
        </w:rPr>
        <w:t xml:space="preserve">No aparece como 'tengo miedo de morir'. Aparece como 'mejor no arriesgo'. Como 'todavía no estoy listo'. Como 'primero termino de prepararme'. Como postergación infinita de lo que más importa.</w:t>
      </w:r>
    </w:p>
    <w:p>
      <w:pPr>
        <w:spacing w:after="120" w:before="120"/>
        <w:jc w:val="both"/>
      </w:pPr>
      <w:r>
        <w:rPr>
          <w:rFonts w:ascii="Arial" w:cs="Arial" w:eastAsia="Arial" w:hAnsi="Arial"/>
          <w:sz w:val="24"/>
          <w:szCs w:val="24"/>
        </w:rPr>
        <w:t xml:space="preserve">Aparece en la relación con el cuerpo: la hipervigilancia, la hipocondría, el terror ante cualquier síntoma. No porque el cuerpo esté mal — sino porque el cuerpo recuerda constantemente que es mortal.</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ansiedad es la aceleración de todas las células. La sensación de que el tiempo se acaba. El miedo a la muerte disfrazado de urgencia. La solución no es calmar la urgencia — es integrar la finitud.</w:t>
      </w:r>
    </w:p>
    <w:p>
      <w:pPr>
        <w:spacing w:after="120" w:before="120"/>
        <w:jc w:val="both"/>
      </w:pPr>
      <w:r>
        <w:rPr>
          <w:rFonts w:ascii="Arial" w:cs="Arial" w:eastAsia="Arial" w:hAnsi="Arial"/>
          <w:sz w:val="24"/>
          <w:szCs w:val="24"/>
        </w:rPr>
        <w:t xml:space="preserve">Aparece también en el aferramiento: a personas, a roles, a identidades. Porque perder algo — aunque sea solo un rol, una etapa — activa el mismo terror que la muerte real.</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La muerte como maestra</w:t>
      </w:r>
    </w:p>
    <w:p>
      <w:pPr>
        <w:spacing w:after="120" w:before="120"/>
        <w:jc w:val="both"/>
      </w:pPr>
      <w:r>
        <w:rPr>
          <w:rFonts w:ascii="Arial" w:cs="Arial" w:eastAsia="Arial" w:hAnsi="Arial"/>
          <w:sz w:val="24"/>
          <w:szCs w:val="24"/>
        </w:rPr>
        <w:t xml:space="preserve">Las tradiciones que más han pensado sobre la muerte — desde los estoicos hasta las filosofías orientales — coinciden en algo: pensar en la muerte no deprime. Clarifica.</w:t>
      </w:r>
    </w:p>
    <w:p>
      <w:pPr>
        <w:spacing w:after="120" w:before="120"/>
        <w:jc w:val="both"/>
      </w:pPr>
      <w:r>
        <w:rPr>
          <w:rFonts w:ascii="Arial" w:cs="Arial" w:eastAsia="Arial" w:hAnsi="Arial"/>
          <w:sz w:val="24"/>
          <w:szCs w:val="24"/>
        </w:rPr>
        <w:t xml:space="preserve">Cuando se acepta que el tiempo es finito, las prioridades cambian. Lo que parecía urgente deja de serlo. Lo que parecía imposible de posterar se vuelve prioritario. La muerte como marco hace visible lo que la ilusión de eternidad escondía.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Cuando la muerte se integra como parte de la vida — no como la negación de la vida — aparece la valentía real. No la valentía de quien no tiene miedo. La valentía de quien tiene miedo y elige de todas formas.</w:t>
      </w:r>
    </w:p>
    <w:p>
      <w:pPr>
        <w:spacing w:after="120" w:before="120"/>
        <w:jc w:val="both"/>
      </w:pPr>
      <w:r>
        <w:rPr>
          <w:rFonts w:ascii="Arial" w:cs="Arial" w:eastAsia="Arial" w:hAnsi="Arial"/>
          <w:sz w:val="24"/>
          <w:szCs w:val="24"/>
        </w:rPr>
        <w:t xml:space="preserve">No hay que buscar la muerte para que esto funcione. Solo hay que dejar de fingir que no existe.</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Vivir como si importara — porque importa</w:t>
      </w:r>
    </w:p>
    <w:p>
      <w:pPr>
        <w:spacing w:after="120" w:before="120"/>
        <w:jc w:val="both"/>
      </w:pPr>
      <w:r>
        <w:rPr>
          <w:rFonts w:ascii="Arial" w:cs="Arial" w:eastAsia="Arial" w:hAnsi="Arial"/>
          <w:sz w:val="24"/>
          <w:szCs w:val="24"/>
        </w:rPr>
        <w:t xml:space="preserve">La pregunta que cambia todo no es ¿cuánto tiempo tengo? Es ¿cómo quiero usar el tiempo que tengo?</w:t>
      </w:r>
    </w:p>
    <w:p>
      <w:pPr>
        <w:spacing w:after="120" w:before="120"/>
        <w:jc w:val="both"/>
      </w:pPr>
      <w:r>
        <w:rPr>
          <w:rFonts w:ascii="Arial" w:cs="Arial" w:eastAsia="Arial" w:hAnsi="Arial"/>
          <w:sz w:val="24"/>
          <w:szCs w:val="24"/>
        </w:rPr>
        <w:t xml:space="preserve">No como carga. Como orientación. Como brújula. Como la pregunta que devuelve el foco cuando la vida cotidiana lo dispersa.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milagro después del milagro: lo que decidiste hacer con tu vida después del quiebre, después de la enfermedad, después de la pérdida. Eso es lo que importa. No el evento — lo que se hace con él.</w:t>
      </w:r>
    </w:p>
    <w:p>
      <w:pPr>
        <w:spacing w:after="120" w:before="120"/>
        <w:jc w:val="both"/>
      </w:pPr>
      <w:r>
        <w:rPr>
          <w:rFonts w:ascii="Arial" w:cs="Arial" w:eastAsia="Arial" w:hAnsi="Arial"/>
          <w:sz w:val="24"/>
          <w:szCs w:val="24"/>
        </w:rPr>
        <w:t xml:space="preserve">Vivir de verdad no es vivir sin miedo. Es vivir con miedo y seguir eligiendo. Es no reservar la energía para el después. Es apostar por lo que importa ahora, con lo que hay ahora, siendo quien se es ahora.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El cierre de la segunda serie — y la invitación</w:t>
      </w:r>
    </w:p>
    <w:p>
      <w:pPr>
        <w:spacing w:after="120" w:before="120"/>
        <w:jc w:val="both"/>
      </w:pPr>
      <w:r>
        <w:rPr>
          <w:rFonts w:ascii="Arial" w:cs="Arial" w:eastAsia="Arial" w:hAnsi="Arial"/>
          <w:sz w:val="24"/>
          <w:szCs w:val="24"/>
        </w:rPr>
        <w:t xml:space="preserve">Esta es la última guía de la Serie 2. Has recorrido el dinero, la pareja, el perdón, la soledad, el trauma heredado, el laberinto propio, los impulsos, la autoestima y la muerte.</w:t>
      </w:r>
    </w:p>
    <w:p>
      <w:pPr>
        <w:spacing w:after="120" w:before="120"/>
        <w:jc w:val="both"/>
      </w:pPr>
      <w:r>
        <w:rPr>
          <w:rFonts w:ascii="Arial" w:cs="Arial" w:eastAsia="Arial" w:hAnsi="Arial"/>
          <w:sz w:val="24"/>
          <w:szCs w:val="24"/>
        </w:rPr>
        <w:t xml:space="preserve">Eso no es poco. Es el mapa completo de lo que nos tiene atrapados.</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Conocerse no es el destino. Es el suelo desde donde empieza la vida que uno elige. El autoconocimiento no se termina — se profundiza. Y en ese proceso, el alma no busca reparación. Busca reconocimiento.</w:t>
      </w:r>
    </w:p>
    <w:p>
      <w:pPr>
        <w:spacing w:after="120" w:before="120"/>
        <w:jc w:val="both"/>
      </w:pPr>
      <w:r>
        <w:rPr>
          <w:rFonts w:ascii="Arial" w:cs="Arial" w:eastAsia="Arial" w:hAnsi="Arial"/>
          <w:sz w:val="24"/>
          <w:szCs w:val="24"/>
        </w:rPr>
        <w:t xml:space="preserve">Si estas guías te movieron algo real, el siguiente paso es el trabajo vivo. Los talleres del Sistema Científico del Alma son el lugar donde esto deja de ser lectura y se convierte en experiencia.</w:t>
      </w:r>
    </w:p>
    <w:p>
      <w:pPr>
        <w:spacing w:after="120" w:before="120"/>
        <w:jc w:val="both"/>
      </w:pPr>
      <w:r>
        <w:rPr>
          <w:rFonts w:ascii="Arial" w:cs="Arial" w:eastAsia="Arial" w:hAnsi="Arial"/>
          <w:sz w:val="24"/>
          <w:szCs w:val="24"/>
        </w:rPr>
        <w:t xml:space="preserve">Escríbeme a @efdalma. Te estoy esperando.</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EL MIEDO A MORIR Y CÓMO TE ROBA LA VIDA</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2026-04-23T01:42:25.048Z</dcterms:created>
  <dcterms:modified xsi:type="dcterms:W3CDTF">2026-04-23T01:42:25.048Z</dcterms:modified>
</cp:coreProperties>
</file>

<file path=docProps/custom.xml><?xml version="1.0" encoding="utf-8"?>
<Properties xmlns="http://schemas.openxmlformats.org/officeDocument/2006/custom-properties" xmlns:vt="http://schemas.openxmlformats.org/officeDocument/2006/docPropsVTypes"/>
</file>