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PELATIHAN PEMBUATAN WEBSITE DENGAN WORDPRESS PADA DISKOMINFO KOTA JAMBI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Kevin Kurniawansyah , S.Kom., M.Kom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1017069301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8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21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560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Laporan akhir harap di lanjutkan ke jurnal atau diHaki kan, sistematika penulisan dirapihkan dan disesuaikan, daftar pustaka cek kembali harus 10 tahun terakhir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