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KEANEKARAGAMAN  FUNGI MIKORIZA ARBUSKULA (FMA) PADA RHIZOSFER DESMODIUM SPP. ASAL PT. CIBALIUNG SUMBERDAYA, BANTEN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25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jurnal agar dapat disebarluaskan informasi secara online.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 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