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SOSIALISASI MITIGASI BENCANA KEBAKARAN PADA MASYARAKAT
DESA SEPONJEN KECAMATAN KUMPE, KABUPATEN MUARO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Ahmad Parlaongan, S.P., 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1007088704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19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22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580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Sistematika laporan di rapikan tambahkan pembahasan dengan jurnal terbaru.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Hendra Kurniawan 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1016057602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