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PENINGKATAN EFISIENSI PENGELOMPOKAN DATA UMKM DI PROVINSI JAMBI MENGGUNAKAN ALGORITMA K-MEANS</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Riset Percepatan Guru Besar</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HETTY ROHAYANI </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1005087901</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35.000.000,-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35.000.000,-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Produk)&amp;nbsp; Produk, Kebijakan, model,rekayasa sosial, teknologi tepat guna, HKI dan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37</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615</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Proposal penelitian dengan judul : Peningkatan Efisiensi Pengelompokan Data UMKM di Provinsi Jambi Menggunakan Algoritma K-Means mendeskripsikan  dan melibatkan langkah-langkah metodologi untuk menerapkan algoritma K-Means pada data UMKM di Provinsi Jambi yang relevan. Data ini mencakup informasi jenis usaha UMKM, transaksi demografis, atau karakteristik usaha yang dibutuhkan untuk dianalisis. 
Tahapan dan mekanisme yang digunakan perlu diperjelas, sesuai dengan roadmap  penelitian di program studi dan fakultas. rencana pengujian perlu di detailkan, kemudian daftar putsaka perlu di sesuaikan di perbaharui minimal 3 tahun terakhir.</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20 Maret 2024</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Prof. Dr.Ir Imam Riadi, M.Kom</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0510088001</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