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2020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KEANEKARAGAMAN JENIS DAN NILAI INDEKS KOMUNITAS BURUNG DI KAWASAN TAMAN HUTAN KOTA MUHAMMAD SABKI, KOTA JAMBI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Hendra Kurniawan 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1016057602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Universitas Muhammadiyah Jambi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1.500.000,-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150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26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510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Laporan dibuat tindak lanjut dengan penulisan jurnal, sistem penulisan dirapikan dan ditambah daftar pustaka terbaru.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16 Maret 2022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Sri Muryati, S.P.,M.Si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1011088904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