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SWOT TELKOMSEL DALAM MENGHADAPI PANDEMI COVID-19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Hario Tamtomo , SEI., MM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1003058703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585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penelitian yang melibatkan instansi lain baik nya bisa lansung dilibatkan dalam penelitian ini.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