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ora-bold.ttf" ContentType="application/x-font-ttf"/>
  <Override PartName="/word/fonts/Lora-boldItalic.ttf" ContentType="application/x-font-ttf"/>
  <Override PartName="/word/fonts/Lora-italic.ttf" ContentType="application/x-font-ttf"/>
  <Override PartName="/word/fonts/Lora-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Nova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Rule="auto"/>
        <w:ind w:left="0" w:right="0" w:firstLine="0"/>
        <w:jc w:val="left"/>
        <w:rPr>
          <w:rFonts w:ascii="Montserrat" w:cs="Montserrat" w:eastAsia="Montserrat" w:hAnsi="Montserrat"/>
          <w:b w:val="1"/>
          <w:bCs w:val="1"/>
          <w:color w:val="1c2b3a"/>
          <w:sz w:val="56"/>
          <w:szCs w:val="56"/>
        </w:rPr>
      </w:pPr>
      <w:r w:rsidDel="00000000" w:rsidR="00000000" w:rsidRPr="00000000">
        <w:rPr>
          <w:rFonts w:ascii="Montserrat" w:cs="Montserrat" w:eastAsia="Montserrat" w:hAnsi="Montserrat"/>
          <w:b w:val="1"/>
          <w:bCs w:val="1"/>
          <w:color w:val="1c2b3a"/>
          <w:sz w:val="56"/>
          <w:szCs w:val="56"/>
          <w:rtl w:val="0"/>
        </w:rPr>
        <w:t xml:space="preserve">Hoja de rodaje · diciembre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80" w:line="360" w:lineRule="auto"/>
        <w:ind w:left="0" w:right="0" w:firstLine="0"/>
        <w:jc w:val="left"/>
        <w:rPr>
          <w:rFonts w:ascii="Lora" w:cs="Lora" w:eastAsia="Lora" w:hAnsi="Lora"/>
          <w:b w:val="0"/>
          <w:bCs w:val="0"/>
          <w:i w:val="1"/>
          <w:iCs w:val="1"/>
          <w:smallCaps w:val="0"/>
          <w:strike w:val="0"/>
          <w:color w:val="5a6472"/>
          <w:sz w:val="23"/>
          <w:szCs w:val="23"/>
          <w:u w:val="none"/>
          <w:shd w:fill="auto" w:val="clear"/>
          <w:vertAlign w:val="baseline"/>
        </w:rPr>
      </w:pP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Va por formato, para grabarlo todo del tirón: no va en orden de publicación. Sale de los guiones de diciembre r6 (20 oct, noche): la crítica del 19 oct, la segunda pasada y lo que dejaste decidido y delegado, aplicados. R25 y R30 se graban sueltas, a cámara y sentado, y R35 en la pizarra: ya no son cortes de vídeo largo. 15 reels en 3 bloques. Al grabar, una carpeta por pieza con su código (R01, N01…).</w:t>
      </w:r>
    </w:p>
    <w:tbl>
      <w:tblPr>
        <w:tblStyle w:val="Table1"/>
        <w:tblW w:w="9026.0" w:type="dxa"/>
        <w:jc w:val="left"/>
        <w:tblInd w:w="-110.0" w:type="dxa"/>
        <w:tblLayout w:type="fixed"/>
        <w:tblLook w:val="0000"/>
      </w:tblPr>
      <w:tblGrid>
        <w:gridCol w:w="4121"/>
        <w:gridCol w:w="3174"/>
        <w:gridCol w:w="1731"/>
        <w:tblGridChange w:id="0">
          <w:tblGrid>
            <w:gridCol w:w="4121"/>
            <w:gridCol w:w="3174"/>
            <w:gridCol w:w="1731"/>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Bloque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Formato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Piezas, en orden de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 Sentado, plano medio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N13 · R28 · N15 · R38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 Sentado, plano medio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sentado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R25 · R30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 Sentado, plano medio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con objeto, sentado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 De pie, en la pizarra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N07 · R35 · N18 · N22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 Espontáneo, con el móvil en mano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casa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R21 · R26 · R31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 Espontáneo, con el móvil en mano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con objeto, de pie en casa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N27</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1</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Sentado, plano medio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Pantalla dividida y reacción comparten cámara: tú, sentado y en plano medio; la pantalla o el clip de arriba se montan después.</w:t>
      </w:r>
    </w:p>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N13 Lo que no dicen los logos</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su web en el móvil o en el ordenador: primero la franja de logos («He trabajado para proyectos como»), después el caso de Fernando, con la foto del estudio y su frase. Es Demostración: se enseña el criterio sobre un caso real, el propio, y no una plantilla.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logo dice con quién. No dice qué cambió.</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sabes si tus resultados son suficientemente buenos para compartirlos. Así que pones los logos de tus clientes, y esperas que con eso baste.»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«Esta es mi web. Los logos dicen con quién he trabajado. Debajo, un caso. Cuando empecé con Fernando, Píldoras del Conocimiento no tenía redes sociales. Lo que hice: un recurso por episodio, reels con palabra clave y un mensaje automático que lo entrega. Lo que cambió lo dice él: le entran leads más cerca de comprar sus formaciones.»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 logos solos, tu comprador no sabe por qué tú. Las cifras de un cliente son contenido si puedes explicar qué hiciste para conseguirlas. La prueba social no es llenar una página de logos: es explicar qué hiciste y qué cambió.»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casos tienes y cuáles está viendo tu comprador,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R28 Un perfil en semáforo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en plano medio; abajo el perfil en pantalla, bloque a bloque, con el color que le pone. Nombre, foto y datos del tercero difuminados salvo permiso explícito por escrito. Ritmo lento.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rojo que no ves en tu propio perfil.</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primero que hago en una llamada de diagnóstico es 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«Analizo lo que ve tu próximo cliente antes de agendarte una llamada de ventas. El Nombre: ¿lleva lo que haces? Bio: ¿a quién ayudas? Enlace: ¿lleva a algo que solo pide quien encaja? Destacadas: ¿enseñan lo que has hecho?»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tu perfil bloque a bloque,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N15 Cómo preparo una grabación</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una página del guion de V1, la del bloque 2: su frase de apertura y sus puntos de apoyo. Es Demostración: se enseña el criterio sobre una página real, la propia, y no el método entero.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grabes ideas. Graba lo que contestas a tus clientes.</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sientas delante de la cámara, le das a grabar y no sabes por dónde empezar. Y lo que sale es largo, flojo y sin gancho.»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«Comunicas mejor contestando una pregunta real que intentando crear contenido. Te enseño cómo preparo yo una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«Uno: lo que vas a contestar sale de lo que tu comprador quiere saber antes de contratarte. Dos: debajo, unos puntos de apoyo, para que no tengas que pensar tanto. Tres: contestas como le contestarías a un cliente en una reunión. Esta es una página del guion de uno de mis vídeos: una frase para empezar y unos puntos debajo.»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trabajamos juntos, es igual: yo te hago las preguntas y tú respondes desde tu experiencia.»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se pregunta tu comprador antes de contratarte,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R38 Lo que te pide a ti, y lo que no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abajo el formulario de onboarding real, con casi todos los campos tapados y tres destapados (el sistema se enseña a medias). Ritmo lento.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Delegar no puede darte más trabajo.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«Has intentado delegar el contenido y fue un desastre: revisiones cada semana, horas de grabación cada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tiene por qué seguir así»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«Yo únicamente te pido una mañana de grabación para sacar el contenido de los próximos 3 meses. Con una hoja de grabación en la que contestas preguntas, con respuestas orientadas.»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como trabajo yo: dirijo, escribo, edito y programo. Tú contestas y cierras.»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cuánto tiempo te está costando hoy tu contenido,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R25 Hay muchos más que no pueden pagarte que de los que sí</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A cámara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sentado, plano medio. Ritmo lento y la misma luz que las pantallas divididas. Vertical, con el gancho escrito fijo arriba. Se graba suelta, con tu locución tal cual (20 oct): ya no es un corte de V3.</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vendes B2B High Ticket, más visitas no es más clientes.</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han vendido que más audiencia es más clientes. Para el que vende B2C low ticket es verdad: porque cualquier persona que te ve te puede comprar. Pero si vendes B2B high ticket solo importa los que pueden pagarte. Si haces contenido que le habla a cualquiera estás atrayendo a las personas que no pueden pagar tu servicio»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 el contenido puedes atraer a 2 tipos de personas: el que puede pagarte y el que solo está para curiosear. Cada decisión que tomas para gustarle a la mayoría, cómo arranca el vídeo, el ritmo, el tema, es el motivo por el que tu contenido atrae curiosos,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«Haz al revés: decide primero quién tiene que verte, y haz todo del contenido para esa persona.»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«Da igual que no tenga miles de visitas, porque estás únicamente atrayendo a tu cliente ideal con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cuanto más sientan que el mensaje resuena con ellos, más confiarán en ti y más caliente será el lead. Si quieres que personalmente analice qué piezas de tu contenido atraen ya a tu cliente ideal,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R30 Copiar al que tiene visitas sin saber por qué le funciona</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A cámara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sentado, plano medio. Ritmo lento y la misma luz que las pantallas divididas. Vertical, con el gancho escrito fijo arriba. Se graba suelta, con tu locución tal cual (20 oct): ya no es un corte de V3.</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analizar el contenido de tu competencia.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enseñan el vídeo de tu competencia con más visitas y te dicen: hagamos uno así. Seguro que te ha pasado.»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error es copiarlo sin haberlo analizado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hay que ver qué le funciona a esa cuenta según a quién le habla. Cuál es su producto, High Ticket o Low ticket. Si vendes high ticket y contratas a alguien que mira qué es viral en tu sector y lo copia, te va a llenar el embudo de curiosos.»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vez de copiarla, analiza qué defiende y en qué de esas cosas no estás de acuerdo. Así tienes una pieza de contenido reaccionando a su mensaje hablando de lo que defiendes con tu marca.»</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N26 Entender, comprobar, confiar</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A cámara con objeto</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con objeto (ficha 8.7, del menú). Sentado a tu mesa, plano medio, con un folio boca abajo delante; en la fase 2 le das la vuelta y se leen tres palabras escritas a mano. No va en pizarra para no repetir un mes después el mecanismo de R12 de noviembre, que es sistema paso a paso en pizarra.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saber qué le falta a tu contenido si vendes con llamada de ventas.</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da miedo parecer demasiado vendedor en el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«Por eso lo normal es quedarte en explicar bien lo que haces. Pero en la llamada de ventas tu cliente hace tres cosas, y en este orden. Entiende cómo piensas, comprueba que lo has hecho y confía en ti. Explicarlo bien solo resuelve la primera, y las otras dos las tienes que conseguir tú en cada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primero es que te entienda. Para eso, tu contenido debe enseñarle cómo piensas sobre su problema, y en qué piensas distinto al resto de tu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«Después tiene que comprobar que lo has hecho, y eso se consigue contando un caso tuyo con su resultado. Contarlo no te hace parecer vendedor, porque cuentas lo que ya pasó con un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por último, tiene que confiar en ti antes de hablar contigo. Por ejemplo, que sepa que le vas a contestar tú, y para quién no es tu servicio.»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cuál de las tres le falta a tu contenido, comenta DIAGNÓSTICO y hablamos por privado.»</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2</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De pie, en la pizarra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Plano medio, la pizarra a tu derecha. Se escribe en directo lo que pide cada guion.</w:t>
      </w:r>
    </w:p>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N07 La propuesta que no te firmaron</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Pizarra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partida en dos columnas que se rellenan mientras habla. Ritmo lento, cámara fija. Va en pizarra porque lo que enseña es un ejercicio de dos columnas, y escrito se copia.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el CRM apuntas que perdiste la propuesta, no por qué.</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rechazaron tu última propuesta, y solo apuntaste en el CRM para saber cuál es el ratio de conversiones.»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«Las próximas veces apunta esto: la razón principal por la que el lead no contrató tu servicio. Y en el caso que lo cierres también apunta por qué lo cerraste.»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«Identifica los patrones que más se repiten. Y contesta esas dudas en tu contenido. Mi trabajo empieza en lo que se pregunta tu cliente antes de contratarte, no en las tendencias de Instagram.»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dudas de tu comprador no están contestadas todavía con tu contenido,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R35 Hiciste el esfuerzo y te siguen comparando por precio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Pizarra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Ritmo lento, cámara fija. Vertical, con el gancho escrito fijo arriba. Se graba suelta, con tu locución tal cual (20 oct): ya no es un corte de V4.</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Has contratado una agencia y te siguen comparando por precio.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«Muchos empresarios B2B han contratado una agencia para hacer contenido y los que preguntaron para contratar su servicio le compararon con precio con su competencia. Ahora piensan que conseguir clientes High Ticket por redes sociales no funciona.»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problema era que el contenido no estaba hecho para tu cliente ideal, sino para conseguir 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comparan por precio con gente que no ha hecho ni la mitad, porque el que pide presupuesto ni te conoce. Es el coste de la autoridad invisible, y tiene arreglo.»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mayoría de las personas que ven tu perfil no conocen quién eres, tu historia, tus casos de éxito. Solo uno más de los muchos a los que sigue. Lo primero que cambiaría: escribir las preguntas que te hace un cliente antes de contratarte, y contestar una en tu próxima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preguntas de tu llamada no contesta tu contenido,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N18 Ideas, no clips</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Pizarra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Primero una fila de rectángulos iguales que salen de un círculo; después, del mismo círculo, unas formas distintas entre sí. No está dibujado al empezar. Ritmo lento, cámara fija. Va en pizarra porque lo que enseña es la diferencia entre copias e ideas, y dibujada se ve.</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Cortar más clips no te da más ideas.</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«Le diste tu entrevista a una agencia y te la devolvió cortada en todos los clips que pudo.»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«Ese es el error: confundir clips con ideas.»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respuesta buena puede convertirse en piezas diferentes porque contiene varias ideas, no porque cortes el mismo vídeo veinte veces. Tu comprador ve la misma idea en trozos, y no aprende nada nuevo de ti.»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mismo vídeo ya puede ir a todas las plataformas. Antes de cortar, apunta las ideas que hay en cada respuesta. El objetivo no es producir muchos clips de una grabación: es extraer las ideas que merecen convertirse en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«Así trabajo cada grabación: primero las ideas, después los cortes.»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tus últimas piezas son ideas distintas o el mismo vídeo en trozos,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N22 El Método Reflejo, con su nombre</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Pizarra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(ficha 8.7). De pie, plano medio, la pizarra a tu derecha y en blanco al empezar. Una raya vertical por el centro hace de espejo: a la izquierda, la llamada de ventas; a la derecha, tu contenido; lo que se escribe a un lado se copia al otro a la misma altura. Va en pizarra porque el nombre es un reflejo, y dibujado se entiende a la primera.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conseguir que tu cliente llegue a la llamada de ventas con sus dudas ya contestadas.</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«Contrataste a una agencia para hacer tu contenido, y en la llamada de ventas te siguen haciendo las mismas preguntas de siempre. Probablemente ese contenido salió de mirar qué era viral en tu sector, que es lo que hace la mayoría.»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hago yo se llama Método Reflejo. Las preguntas y objeciones que te hacen en tu llamada de ventas son lo que debes publicar, y las contestas tú. Por eso yo no me invento el contenido. Cojo lo que ya contestas en tus llamadas y lo comunico bien en redes sociales.»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«Tus clientes ya saben esas respuestas, porque se las diste tú en la llamada. Y con tu contenido, el siguiente las ve antes de escribirte. Entonces llega a la llamada con sus dudas ya contestadas, y no tienes que empezar de cero.»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preguntas de tu llamada de ventas no contesta tu contenido, comenta DIAGNÓSTICO y hablamos por privado.»</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3</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Espontáneo, con el móvil en mano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Cámara frontal y el móvil en mano, como dice cada guion: en casa, de pie y con luz de ventana, salvo donde pone otro sitio.</w:t>
      </w:r>
    </w:p>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R21 La trampa viral: el regalo que es una sentencia</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en casa, de pie junto a la ventana, luz natural, ritmo lento, tres cortes en toda la pieza; pasa de a cámara sentado a espontáneo porque es una pieza a la contra, y una creencia desmontada a la cara y sin set suena a opinión, no a clase. Un objeto que hace de metáfora del viral: una hoja con un pico grande dibujado a mano y, por detrás, uno pequeño.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trampa viral.</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agencia te consiguió un vídeo con un millón de visitas, y ninguna era tu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«Kallaway lo llama la trampa viral. La mayoría del sector te han contado que hay que conseguir las máximas visualizaciones posibles.»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en B2B, con un servicio high ticket esa estrategia es subóptima. El algoritmo aprende quién es tu público con cada pieza, entonces tu siguiente vídeo se lo enseña a esas mismas personas. Has conseguido atraer a un público que no conecta con tu mensaje.»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«Esta estrategia es subóptima porque te van a entrar muchos curiosos a tu embudo, que no son tu cliente ideal. La estrategia que yo sigo con mi marca personal es la viralidad de nicho. Menos visitas, pero cada una le enseña al algoritmo quién es el público que cumple las condiciones para pagarte tu servicio. Y no sale de lo que está siendo viral: sale de lo que te preguntan en tu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a quién le ha llegado tu vídeo con más visitas,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R26 Mi meta, en público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en casa, de pie en la cocina, luz de ventana, ritmo lento, un solo corte. Un objeto: un pósit en la puerta de la nevera con «Una mañana / 120 días» escrito a rotulador, que no se lee hasta la fase 2. Pasa de a cámara sentado a espontáneo porque es una pieza de humanización, y una meta dicha en casa, con el móvil en la mano, suena a lo que se le cuenta a alguien y no a un anuncio.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«Esperar a tener resultados te deja sin historia»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«Dejé de editar 180 reels al mes, para ayudar a empresarios B2B a conseguir clientes, grabándose solo una mañana cada 3 meses.»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«Quiero que con esa grabación podamos sacar contenido diario para 120 días.»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 día de hoy, trabajo con dos empresas a la vez, para invertir todo el tiempo en conseguirles resultados.»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 contenido puede salir de una sola mañana de grabación,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R31 José Elías entró en redes ya siendo el empresario de la luz</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casa, de pie, cámara frontal del móvil en mano, plano medio corto, poca luz al empezar, ritmo lento, dos cortes. Un objeto: una lámpara que se enciende al empezar y se apaga al terminar. Pasa de a cámara sentado a espontáneo porque es una pieza a la contra (no fue el canal) y, como la primera de la serie, dicha sin set suena a opinión y no a clase.</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José Elías no se hizo conocido en YouTube.</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«José Elías abrió su canal de YouTube en octubre de 2023 y en un año tenía cientos de miles de suscriptores.»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«Ya le conocían por una cosa, la energía: Audax, la lista Forbes. Y en el canal empezó por ahí: cómo montó la empresa y cómo se dirige una pyme.»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«Así es como se construye una marca personal, pregúntate con qué te asocian tus clientes, y eso es lo que debe contar tu marca. Ahora mira tus últimas piezas: ¿hablan de eso?»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«Primero hay que empezar cerrado, buscar asociarte solo con una cosa muy concreta, luego vas abriendo según vas creciendo.»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N27 A qué vídeo le pones anuncios</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las piezas de contexto cuentan así en el reparto · A cámara con objeto</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las piezas de contexto cuentan así en el reparto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con objeto (ficha 8.7, del menú). De pie en casa, plano medio, luz de ventana, con el móvil en la mano y la pantalla hacia la cámara: un reel tuyo con el botón de promocionar a la vista. El objeto es la decisión de la que habla la pieza. Ojo: el móvil enseñado a cámara abre también N04 (noviembre); aquí el gesto es otro, el pulgar que se para antes del botón.</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qué vídeo ponerle anuncios si vendes con llamada de ventas.</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«Pagaste anuncios a tus vídeos y te llegó mucha gente, pero no era tu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«Probablemente pusiste el dinero en el vídeo con más visitas, porque parece lo más lógico.»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verdad que en un anuncio puedes elegir a quién se le enseña. Pero un anuncio no cambia a quién le habla tu vídeo. Si ese vídeo te trajo curiosos, el anuncio te va a traer más curiosos. Si vendes un servicio que se cierra en una llamada de ventas, esto va a hacer que pagues por gente que no te va a comprar.»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«Ponle anuncios solo al vídeo que ya te ha traído a tu cliente ideal. Ese vídeo ya le habla a quien puede comprarte. Para saber cuál es, analiza a quién llegó cada vídeo, no cuántas visitas tuvo.»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vídeo tuyo merece un anuncio, comenta DIAGNÓSTICO y hablamos por privado.»</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4</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Antes de grabar: lo que hay que tener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Lo que sale en pantalla y no es tu cara —capturas, documentos, clips y grabaciones de pantalla— y lo que cada guion deja pendiente. Lo consigues tú, y tiene que estar antes de la sesión de su bloque: si el día de grabar falta, esa pieza se cae. Sacado de los fondos de cada guion (añadido por Claude, 20 oct).</w:t>
      </w:r>
    </w:p>
    <w:tbl>
      <w:tblPr>
        <w:tblStyle w:val="Table1"/>
        <w:tblW w:w="9026.0" w:type="dxa"/>
        <w:jc w:val="left"/>
        <w:tblInd w:w="-110.0" w:type="dxa"/>
        <w:tblLayout w:type="fixed"/>
        <w:tblLook w:val="0000"/>
      </w:tblPr>
      <w:tblGrid>
        <w:gridCol w:w="4121"/>
        <w:gridCol w:w="3174"/>
        <w:gridCol w:w="1731"/>
        <w:tblGridChange w:id="0">
          <w:tblGrid>
            <w:gridCol w:w="4121"/>
            <w:gridCol w:w="3174"/>
            <w:gridCol w:w="1731"/>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Pieza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hay que tener</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Para cuándo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N13 · mié 2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mirando a la lente; abajo, la franja de logos de la web, quieta.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Abajo, scroll lento de los logos al caso: la foto del estudio y, en «lo dice él», su frase. Arriba, Miguel mira a la pantalla.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Abajo, vuelve a la franja de logos. Arriba, Miguel vuelve a mirar a la lente en «qué hiciste y qué cambió».</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Abajo, el caso de Fernando, quieto. Arriba, Miguel a la lente. Corte seco al terminar.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el bloque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R28 · mié 9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con el rotulador rojo destapado. Abajo, el perfil elegido (PENDIENTE: cuál), con la foto y el nombre difuminados; el cursor lo recorre de arriba abajo y vuelve a la foto.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Abajo, el cursor va de bloque en bloque: foto, nombre, bio, enlace, destacadas. Al decir cada bloque, aparece sobre él el círculo de su color, el del veredicto real. Datos del tercero difuminados; la bio se lee solo si hay permiso.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Material: PENDIENTE: una cuenta real con permiso por escrito para enseñarla (aunque sea difuminada); si no llega, la propia cuenta de Miguel de abril de 2026, que se puede enseñar entera. Los colores de cada bloque se ponen el día de grabar sobre la cuenta elegida: aquí van como [PENDIENTE: color].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Material propio que lleva dentro: El método real de la llamada (los cinco bloques y sus tres colores) y la cuenta real que se audita (PENDIENTE: cuál). Sin cifras.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el bloque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N15 · jue 17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mirando a la lente; abajo, la página del guion, quieta, con la frase de apertura resaltada.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Abajo, scroll lento hasta el principio de la página. Arriba, Miguel mira la pantalla.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Abajo, se resalta cada parte de la página cuando la nombra: la frase de apertura y los puntos de apoyo. Arriba, Miguel vuelve a la lente en «en una reunión».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Abajo, la página entera, quieta. Arriba, Miguel a la lente.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Mismo plano. Corte seco al terminar.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el bloque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R38 · mié 23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con tres dedos levantados, que baja en «fue un desastre». Abajo, el formulario tapado.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Abajo, el formulario sigue tapado; el cursor se posa sobre el primer campo destapado sin abrirlo.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Abajo, los tres campos destapados se iluminan uno a uno con la voz: «Las preguntas que te hacen antes de contratarte» / «Tus casos» / «Fecha de grabación». El resto, tapado toda la fase.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Material: El formulario de onboarding en pantalla, a medias. PENDIENTE: el formulario real cerrado; si no lo está el día de grabar, se enseña la plantilla con todos los campos tapados menos los tres que se nombran.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el bloque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N26 · mar 8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Material propio que lleva dentro: Tu modelo con su nombre, escrito en el folio, y el D10. PENDIENTE: un cliente tuyo que llegó a la llamada habiendo entendido, comprobado y confiado, o tu historia (6.9, con el origen todavía en blanco), para atar el modelo a algo que te pasó. A quién: 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el bloque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N22 · mar 22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Material propio que lleva dentro: Tu filtro, como se lo dijiste a Fer: «has creado contenido, has intentado por tu cuenta, has contado alguna agencia. ¿Y no te ha funcionado?» (Polvoranca, 08:33; «contado» es «contratado» mal transcrito). Y tu mecanismo, con su nombre. PENDIENTE: una pregunta real de una llamada de ventas, tuya o de un cliente con permiso, convertida en pieza delante del que mira, para que el espejo se vea funcionar. A quién: Miguel. Una candidata, si la validas: la objeción de tu ensayo de venta con Fer del 8 oct, contada como ensayo (ficha, 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el bloque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R26 · lun 7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Material: Es suya (ficha 9.9). Sin precio. PENDIENTE: el estado real a 7 de diciembre (cuántos de los tres empresarios hay, aunque sea cero: se dice el número que sea).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el bloque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N27 · mar 15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Material propio que lleva dentro: Tu criterio de la oferta (ficha 8.1) y tu orden de N04. Ninguna cifra ni caso: la pieza va con criterio. PENDIENTE: los datos de una campaña, tus FollowMe Ads a los reels de noviembre que más conversaciones traigan o la campaña de un cliente con su permiso, contados con lo que pasó. A quién: 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el bloque 3</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5</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Las historias: lo que se graba en mudo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Las historias no se graban hablando: se diseñan. Pero casi todas llevan de fondo un vídeo mudo tuyo, una foto o una captura, y sin eso no se pueden montar. Los vídeos mudos se graban en la misma sesión, al final, de diez a quince segundos por toma. Los fondos lisos no están: van en el diseño (añadido por Claude, 20 oct).</w:t>
      </w:r>
    </w:p>
    <w:tbl>
      <w:tblPr>
        <w:tblStyle w:val="Table1"/>
        <w:tblW w:w="9026.0" w:type="dxa"/>
        <w:jc w:val="left"/>
        <w:tblInd w:w="-110.0" w:type="dxa"/>
        <w:tblLayout w:type="fixed"/>
        <w:tblLook w:val="0000"/>
      </w:tblPr>
      <w:tblGrid>
        <w:gridCol w:w="4121"/>
        <w:gridCol w:w="3174"/>
        <w:gridCol w:w="1731"/>
        <w:tblGridChange w:id="0">
          <w:tblGrid>
            <w:gridCol w:w="4121"/>
            <w:gridCol w:w="3174"/>
            <w:gridCol w:w="1731"/>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Secuencia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hay que tener, pantalla a pantalla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Para cuándo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S13 · mar 1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Vídeo mudo de Miguel pasando el dedo por una gráfica dibujada a mano en su cuaderno: una línea plana con un pico.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El cuaderno con dos columnas escritas a mano: «SÍ» y «NO», y debajo de cada una dos líneas.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mar 1 dic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NS6 · jue 3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Vídeo mudo, cámara cenital: la mano de Miguel arranca una hoja de un talonario de facturas en blanco y la deja en la mesa, junto al cuaderno. Ya en movimiento en el primer fotograma.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2: Foto cenital de tres hojas del mismo talonario, en blanco, una al lado de otra.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Foto cenital fija de las tres hojas, ya grapadas en un montón.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jue 3 dic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S15 · vie 4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Vídeo mudo de Miguel leyendo un mensaje en el móvil, serio, sin mirar a cámara.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2: Captura del cuaderno real de Miguel con una tabla de seis filas y dos columnas, hecha a mano: «Promesa» / «A quién».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Captura de la tabla de piezas de un diagnóstico real, con a quién le habla cada una y qué trabajo hace, difuminada (PENDIENTE: el primer diagnóstico hecho; hasta entonces, la plantilla de la tabla con los nombres tapados).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vie 4 dic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S16 · mar 8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Captura del mensaje real con el nombre y la foto difuminados y la pregunta legible (PENDIENTE: consulta real de Miguel; «esta semana» se ajusta al momento real en que llegó).</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2: Captura de la respuesta de Miguel en el mismo hilo, difuminada salvo la primera línea (PENDIENTE: la respuesta real); si no la hay, vídeo mudo de Miguel tecleando en el móvil.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Captura de la ficha de una pieza de Miguel con la línea de a quién le habla (sin su etiqueta ni su número) y la de «Dolor exacto» visibles, y el resto difuminado.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4: La captura de la ficha de la pantalla 3, con la línea de a quién le habla rodeada.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mar 8 dic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NS7 · jue 10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Vídeo mudo: tú en la mesa cerrando el portátil al acabar una videollamada, y apuntando algo en el cuaderno sin que se lea.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4: Vídeo mudo: tú en la mesa abriendo un perfil de Instagram en el ordenador para mirarlo; la pantalla, desenfocada.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jue 10 dic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S18 · vie 11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Captura real de las estadísticas de esa pieza, con la cifra de alcance visible (PENDIENTE: la captura).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2: Captura real de las estadísticas de la segunda pieza (PENDIENTE). Si no hubo ninguna conversación, el texto cambia a: «Ninguna abrió una conversación con alguien que podía pagarme. Lo cuento igual.» y el fondo es la bandeja de mensajes vacía de ese filtro.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La hoja real del cierre de noviembre, con las dos columnas (PENDIENTE), difuminando lo que no sea de Miguel.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4: La columna de alcance de la hoja, ordenada de mayor a menor, con la columna de conversaciones tapada con un rectángulo (PENDIENTE: la hoja real).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vie 11 dic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S21 · vie 18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Vídeo mudo de Miguel con auriculares, esperando a que alguien entre en una videollamada; la sala vacía en la pantalla, difuminada.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2: Captura de un mensaje de Miguel enviando un enlace a una pieza antes de una reunión, con el destinatario difuminado (PENDIENTE: uno real; hasta entonces, el cuaderno con «1 pieza antes de la llamada» escrito a mano).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La agenda real de diagnósticos de diciembre, con los nombres tapados y sin contar huecos (PENDIENTE: la agenda real).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4: La agenda con el 23 marcado y los días hasta el 7 de enero tachados (PENDIENTE: Miguel confirma las fechas de cierre). Si la agenda no cierra de verdad, la pantalla cambia a: «Cada llamada que empieza fría es una presentación que ya deberías tener hecha. Responde DIAGNÓSTICO y miro qué ve de ti antes de la llamada.», y el cierre pasa a blando (el CTA se queda solo en la pantalla 3 y esta pasa a ser la última con el CTA una vez).</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vie 18 dic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S22 · mar 22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Vídeo mudo de Miguel en la calle, de pie junto a un coche normal aparcado, sin mirarlo.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2: La pizarra con dos columnas: «SIN REUNIÓN → el coche vende» / «CON REUNIÓN →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La tabla del censo propio de proveedores (21 sep 2026) con la columna de cifras marcada y los nombres difuminados.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mar 22 dic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NS4 · jue 24 dic (se programa por la mañana)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Grabación con el móvil en mano de la pantalla del ordenador: la carpeta con los reels de ese mes, bajando deprisa. PENDIENTE: que conserves esa carpeta; si no la tienes, vídeo mudo tuyo en la mesa con el editor abierto y la línea de tiempo llena de cortes, desenfocada.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2: A cámara, móvil en mano, en casa con luz de ventana, como R06: contestas mirando a la cámara, de un tirón y sin papel delante.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Vídeo mudo, cámara desde arriba: tú apuntando a mano minuto y segundo en el cuaderno mientras suena una grabación de Píldoras en el portátil (permiso de PDC: sí); lo que escribes no se lee y la pantalla del portátil va desenfocada.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jue 24 dic (se programa por la mañana)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S24 · sáb 26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Foto del calendario de pared de enero, en blanco, con un boli encima.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La agenda real de enero, con los nombres tapados y sin contar huecos (PENDIENTE: la agenda real).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4: El calendario pasando de enero a febrero y a marzo, los tres con la misma X en todos los días.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sáb 26 dic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SP1 · mar 29 dic (semana de puente)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Foto hecha con el móvil de la pizarra real con las dos columnas y notas adhesivas con los temas (PENDIENTE: los temas reales del cierre).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2: La pizarra, con una nota adhesiva pasando de una columna a otra (vídeo mudo, la mano de Miguel).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La columna «SE RECOLOCA» de cerca, con la nota del tema real.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4: Vídeo mudo de Miguel borrando la pizarra y dejando solo las dos cabeceras.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mar 29 dic (semana de puente)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SP2 · jue 31 dic (semana de puente)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Captura del perfil de Miguel del 2 de noviembre (PENDIENTE: la captura; si es de otra fecha, se escribe esa fecha).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2: Captura del perfil de hoy (PENDIENTE: se hace la mañana del 31).</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Las cuatro preguntas escritas a mano en el cuaderno, con las respuestas de Miguel.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4: La captura del perfil de hoy, de la pantalla 2, en pequeño. Pantalla de recambio, si se prefiere no pedir el 31: «Dime cuál de las cuatro te cuesta más contestar», con una caja de preguntas («¿Cuál de las cuatro te cuesta más contestar?») como CTA.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jue 31 dic (semana de puente)</w:t>
            </w:r>
          </w:p>
        </w:tc>
      </w:tr>
    </w:tbl>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erif"/>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2272e"/>
        <w:sz w:val="22"/>
        <w:szCs w:val="22"/>
        <w:lang w:val="en"/>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90.0" w:type="dxa"/>
        <w:left w:w="140.0" w:type="dxa"/>
        <w:bottom w:w="90.0" w:type="dxa"/>
        <w:right w:w="140.0" w:type="dxa"/>
      </w:tblCellMar>
    </w:tblPr>
  </w:style>
  <w:style w:type="table" w:styleId="Table3">
    <w:basedOn w:val="TableNormal"/>
    <w:tblPr>
      <w:tblStyleRowBandSize w:val="1"/>
      <w:tblStyleColBandSize w:val="1"/>
      <w:tblCellMar>
        <w:top w:w="90.0" w:type="dxa"/>
        <w:left w:w="140.0" w:type="dxa"/>
        <w:bottom w:w="90.0" w:type="dxa"/>
        <w:right w:w="140.0" w:type="dxa"/>
      </w:tblCellMar>
    </w:tblPr>
  </w:style>
  <w:style w:type="table" w:styleId="Table4">
    <w:basedOn w:val="TableNormal"/>
    <w:tblPr>
      <w:tblStyleRowBandSize w:val="1"/>
      <w:tblStyleColBandSize w:val="1"/>
      <w:tblCellMar>
        <w:top w:w="90.0" w:type="dxa"/>
        <w:left w:w="140.0" w:type="dxa"/>
        <w:bottom w:w="90.0" w:type="dxa"/>
        <w:right w:w="140.0" w:type="dxa"/>
      </w:tblCellMar>
    </w:tblPr>
  </w:style>
  <w:style w:type="table" w:styleId="Table5">
    <w:basedOn w:val="TableNormal"/>
    <w:tblPr>
      <w:tblStyleRowBandSize w:val="1"/>
      <w:tblStyleColBandSize w:val="1"/>
      <w:tblCellMar>
        <w:top w:w="90.0" w:type="dxa"/>
        <w:left w:w="140.0" w:type="dxa"/>
        <w:bottom w:w="90.0" w:type="dxa"/>
        <w:right w:w="140.0" w:type="dxa"/>
      </w:tblCellMar>
    </w:tblPr>
  </w:style>
  <w:style w:type="table" w:styleId="Table6">
    <w:basedOn w:val="TableNormal"/>
    <w:tblPr>
      <w:tblStyleRowBandSize w:val="1"/>
      <w:tblStyleColBandSize w:val="1"/>
      <w:tblCellMar>
        <w:top w:w="90.0" w:type="dxa"/>
        <w:left w:w="140.0" w:type="dxa"/>
        <w:bottom w:w="90.0" w:type="dxa"/>
        <w:right w:w="140.0" w:type="dxa"/>
      </w:tblCellMar>
    </w:tblPr>
  </w:style>
  <w:style w:type="table" w:styleId="Table7">
    <w:basedOn w:val="TableNormal"/>
    <w:tblPr>
      <w:tblStyleRowBandSize w:val="1"/>
      <w:tblStyleColBandSize w:val="1"/>
      <w:tblCellMar>
        <w:top w:w="90.0" w:type="dxa"/>
        <w:left w:w="140.0" w:type="dxa"/>
        <w:bottom w:w="90.0" w:type="dxa"/>
        <w:right w:w="140.0" w:type="dxa"/>
      </w:tblCellMar>
    </w:tblPr>
  </w:style>
  <w:style w:type="table" w:styleId="Table8">
    <w:basedOn w:val="TableNormal"/>
    <w:tblPr>
      <w:tblStyleRowBandSize w:val="1"/>
      <w:tblStyleColBandSize w:val="1"/>
      <w:tblCellMar>
        <w:top w:w="90.0" w:type="dxa"/>
        <w:left w:w="140.0" w:type="dxa"/>
        <w:bottom w:w="90.0" w:type="dxa"/>
        <w:right w:w="140.0" w:type="dxa"/>
      </w:tblCellMar>
    </w:tblPr>
  </w:style>
  <w:style w:type="table" w:styleId="Table9">
    <w:basedOn w:val="TableNormal"/>
    <w:tblPr>
      <w:tblStyleRowBandSize w:val="1"/>
      <w:tblStyleColBandSize w:val="1"/>
      <w:tblCellMar>
        <w:top w:w="90.0" w:type="dxa"/>
        <w:left w:w="140.0" w:type="dxa"/>
        <w:bottom w:w="90.0" w:type="dxa"/>
        <w:right w:w="140.0" w:type="dxa"/>
      </w:tblCellMar>
    </w:tblPr>
  </w:style>
  <w:style w:type="table" w:styleId="Table10">
    <w:basedOn w:val="TableNormal"/>
    <w:tblPr>
      <w:tblStyleRowBandSize w:val="1"/>
      <w:tblStyleColBandSize w:val="1"/>
      <w:tblCellMar>
        <w:top w:w="90.0" w:type="dxa"/>
        <w:left w:w="140.0" w:type="dxa"/>
        <w:bottom w:w="90.0" w:type="dxa"/>
        <w:right w:w="140.0" w:type="dxa"/>
      </w:tblCellMar>
    </w:tblPr>
  </w:style>
  <w:style w:type="table" w:styleId="Table11">
    <w:basedOn w:val="TableNormal"/>
    <w:tblPr>
      <w:tblStyleRowBandSize w:val="1"/>
      <w:tblStyleColBandSize w:val="1"/>
      <w:tblCellMar>
        <w:top w:w="90.0" w:type="dxa"/>
        <w:left w:w="140.0" w:type="dxa"/>
        <w:bottom w:w="90.0" w:type="dxa"/>
        <w:right w:w="140.0" w:type="dxa"/>
      </w:tblCellMar>
    </w:tblPr>
  </w:style>
  <w:style w:type="table" w:styleId="Table12">
    <w:basedOn w:val="TableNormal"/>
    <w:tblPr>
      <w:tblStyleRowBandSize w:val="1"/>
      <w:tblStyleColBandSize w:val="1"/>
      <w:tblCellMar>
        <w:top w:w="90.0" w:type="dxa"/>
        <w:left w:w="140.0" w:type="dxa"/>
        <w:bottom w:w="90.0" w:type="dxa"/>
        <w:right w:w="140.0" w:type="dxa"/>
      </w:tblCellMar>
    </w:tblPr>
  </w:style>
  <w:style w:type="table" w:styleId="Table13">
    <w:basedOn w:val="TableNormal"/>
    <w:tblPr>
      <w:tblStyleRowBandSize w:val="1"/>
      <w:tblStyleColBandSize w:val="1"/>
      <w:tblCellMar>
        <w:top w:w="90.0" w:type="dxa"/>
        <w:left w:w="140.0" w:type="dxa"/>
        <w:bottom w:w="90.0" w:type="dxa"/>
        <w:right w:w="140.0" w:type="dxa"/>
      </w:tblCellMar>
    </w:tblPr>
  </w:style>
  <w:style w:type="table" w:styleId="Table14">
    <w:basedOn w:val="TableNormal"/>
    <w:tblPr>
      <w:tblStyleRowBandSize w:val="1"/>
      <w:tblStyleColBandSize w:val="1"/>
      <w:tblCellMar>
        <w:top w:w="90.0" w:type="dxa"/>
        <w:left w:w="140.0" w:type="dxa"/>
        <w:bottom w:w="90.0" w:type="dxa"/>
        <w:right w:w="140.0" w:type="dxa"/>
      </w:tblCellMar>
    </w:tblPr>
  </w:style>
  <w:style w:type="table" w:styleId="Table15">
    <w:basedOn w:val="TableNormal"/>
    <w:tblPr>
      <w:tblStyleRowBandSize w:val="1"/>
      <w:tblStyleColBandSize w:val="1"/>
      <w:tblCellMar>
        <w:top w:w="90.0" w:type="dxa"/>
        <w:left w:w="140.0" w:type="dxa"/>
        <w:bottom w:w="90.0" w:type="dxa"/>
        <w:right w:w="140.0" w:type="dxa"/>
      </w:tblCellMar>
    </w:tblPr>
  </w:style>
  <w:style w:type="table" w:styleId="Table16">
    <w:basedOn w:val="TableNormal"/>
    <w:tblPr>
      <w:tblStyleRowBandSize w:val="1"/>
      <w:tblStyleColBandSize w:val="1"/>
      <w:tblCellMar>
        <w:top w:w="90.0" w:type="dxa"/>
        <w:left w:w="140.0" w:type="dxa"/>
        <w:bottom w:w="90.0" w:type="dxa"/>
        <w:right w:w="140.0" w:type="dxa"/>
      </w:tblCellMar>
    </w:tblPr>
  </w:style>
  <w:style w:type="table" w:styleId="Table17">
    <w:basedOn w:val="TableNormal"/>
    <w:tblPr>
      <w:tblStyleRowBandSize w:val="1"/>
      <w:tblStyleColBandSize w:val="1"/>
      <w:tblCellMar>
        <w:top w:w="90.0" w:type="dxa"/>
        <w:left w:w="140.0" w:type="dxa"/>
        <w:bottom w:w="90.0" w:type="dxa"/>
        <w:right w:w="140.0" w:type="dxa"/>
      </w:tblCellMar>
    </w:tblPr>
  </w:style>
  <w:style w:type="table" w:styleId="Table18">
    <w:basedOn w:val="TableNormal"/>
    <w:tblPr>
      <w:tblStyleRowBandSize w:val="1"/>
      <w:tblStyleColBandSize w:val="1"/>
      <w:tblCellMar>
        <w:top w:w="90.0" w:type="dxa"/>
        <w:left w:w="140.0" w:type="dxa"/>
        <w:bottom w:w="90.0" w:type="dxa"/>
        <w:right w:w="140.0" w:type="dxa"/>
      </w:tblCellMar>
    </w:tblPr>
  </w:style>
  <w:style w:type="table" w:styleId="Table19">
    <w:basedOn w:val="TableNormal"/>
    <w:tblPr>
      <w:tblStyleRowBandSize w:val="1"/>
      <w:tblStyleColBandSize w:val="1"/>
      <w:tblCellMar>
        <w:top w:w="90.0" w:type="dxa"/>
        <w:left w:w="140.0" w:type="dxa"/>
        <w:bottom w:w="90.0" w:type="dxa"/>
        <w:right w:w="140.0" w:type="dxa"/>
      </w:tblCellMar>
    </w:tblPr>
  </w:style>
  <w:style w:type="table" w:styleId="Table20">
    <w:basedOn w:val="TableNormal"/>
    <w:tblPr>
      <w:tblStyleRowBandSize w:val="1"/>
      <w:tblStyleColBandSize w:val="1"/>
      <w:tblCellMar>
        <w:top w:w="90.0" w:type="dxa"/>
        <w:left w:w="140.0" w:type="dxa"/>
        <w:bottom w:w="90.0" w:type="dxa"/>
        <w:right w:w="140.0" w:type="dxa"/>
      </w:tblCellMar>
    </w:tblPr>
  </w:style>
  <w:style w:type="table" w:styleId="Table21">
    <w:basedOn w:val="TableNormal"/>
    <w:tblPr>
      <w:tblStyleRowBandSize w:val="1"/>
      <w:tblStyleColBandSize w:val="1"/>
      <w:tblCellMar>
        <w:top w:w="90.0" w:type="dxa"/>
        <w:left w:w="140.0" w:type="dxa"/>
        <w:bottom w:w="90.0" w:type="dxa"/>
        <w:right w:w="140.0" w:type="dxa"/>
      </w:tblCellMar>
    </w:tblPr>
  </w:style>
  <w:style w:type="table" w:styleId="Table22">
    <w:basedOn w:val="TableNormal"/>
    <w:tblPr>
      <w:tblStyleRowBandSize w:val="1"/>
      <w:tblStyleColBandSize w:val="1"/>
      <w:tblCellMar>
        <w:top w:w="90.0" w:type="dxa"/>
        <w:left w:w="140.0" w:type="dxa"/>
        <w:bottom w:w="90.0" w:type="dxa"/>
        <w:right w:w="140.0" w:type="dxa"/>
      </w:tblCellMar>
    </w:tblPr>
  </w:style>
  <w:style w:type="table" w:styleId="Table23">
    <w:basedOn w:val="TableNormal"/>
    <w:tblPr>
      <w:tblStyleRowBandSize w:val="1"/>
      <w:tblStyleColBandSize w:val="1"/>
      <w:tblCellMar>
        <w:top w:w="90.0" w:type="dxa"/>
        <w:left w:w="140.0" w:type="dxa"/>
        <w:bottom w:w="90.0" w:type="dxa"/>
        <w:right w:w="140.0" w:type="dxa"/>
      </w:tblCellMar>
    </w:tblPr>
  </w:style>
  <w:style w:type="table" w:styleId="Table24">
    <w:basedOn w:val="TableNormal"/>
    <w:tblPr>
      <w:tblStyleRowBandSize w:val="1"/>
      <w:tblStyleColBandSize w:val="1"/>
      <w:tblCellMar>
        <w:top w:w="90.0" w:type="dxa"/>
        <w:left w:w="140.0" w:type="dxa"/>
        <w:bottom w:w="90.0" w:type="dxa"/>
        <w:right w:w="140.0" w:type="dxa"/>
      </w:tblCellMar>
    </w:tblPr>
  </w:style>
  <w:style w:type="table" w:styleId="Table25">
    <w:basedOn w:val="TableNormal"/>
    <w:tblPr>
      <w:tblStyleRowBandSize w:val="1"/>
      <w:tblStyleColBandSize w:val="1"/>
      <w:tblCellMar>
        <w:top w:w="90.0" w:type="dxa"/>
        <w:left w:w="140.0" w:type="dxa"/>
        <w:bottom w:w="90.0" w:type="dxa"/>
        <w:right w:w="140.0" w:type="dxa"/>
      </w:tblCellMar>
    </w:tblPr>
  </w:style>
  <w:style w:type="table" w:styleId="Table26">
    <w:basedOn w:val="TableNormal"/>
    <w:tblPr>
      <w:tblStyleRowBandSize w:val="1"/>
      <w:tblStyleColBandSize w:val="1"/>
      <w:tblCellMar>
        <w:top w:w="90.0" w:type="dxa"/>
        <w:left w:w="140.0" w:type="dxa"/>
        <w:bottom w:w="90.0" w:type="dxa"/>
        <w:right w:w="140.0" w:type="dxa"/>
      </w:tblCellMar>
    </w:tblPr>
  </w:style>
  <w:style w:type="table" w:styleId="Table27">
    <w:basedOn w:val="TableNormal"/>
    <w:tblPr>
      <w:tblStyleRowBandSize w:val="1"/>
      <w:tblStyleColBandSize w:val="1"/>
      <w:tblCellMar>
        <w:top w:w="90.0" w:type="dxa"/>
        <w:left w:w="140.0" w:type="dxa"/>
        <w:bottom w:w="90.0" w:type="dxa"/>
        <w:right w:w="140.0" w:type="dxa"/>
      </w:tblCellMar>
    </w:tblPr>
  </w:style>
  <w:style w:type="table" w:styleId="Table28">
    <w:basedOn w:val="TableNormal"/>
    <w:tblPr>
      <w:tblStyleRowBandSize w:val="1"/>
      <w:tblStyleColBandSize w:val="1"/>
      <w:tblCellMar>
        <w:top w:w="90.0" w:type="dxa"/>
        <w:left w:w="140.0" w:type="dxa"/>
        <w:bottom w:w="90.0" w:type="dxa"/>
        <w:right w:w="140.0" w:type="dxa"/>
      </w:tblCellMar>
    </w:tblPr>
  </w:style>
  <w:style w:type="table" w:styleId="Table29">
    <w:basedOn w:val="TableNormal"/>
    <w:tblPr>
      <w:tblStyleRowBandSize w:val="1"/>
      <w:tblStyleColBandSize w:val="1"/>
      <w:tblCellMar>
        <w:top w:w="90.0" w:type="dxa"/>
        <w:left w:w="140.0" w:type="dxa"/>
        <w:bottom w:w="90.0" w:type="dxa"/>
        <w:right w:w="140.0" w:type="dxa"/>
      </w:tblCellMar>
    </w:tblPr>
  </w:style>
  <w:style w:type="table" w:styleId="Table30">
    <w:basedOn w:val="TableNormal"/>
    <w:tblPr>
      <w:tblStyleRowBandSize w:val="1"/>
      <w:tblStyleColBandSize w:val="1"/>
      <w:tblCellMar>
        <w:top w:w="90.0" w:type="dxa"/>
        <w:left w:w="140.0" w:type="dxa"/>
        <w:bottom w:w="90.0" w:type="dxa"/>
        <w:right w:w="140.0" w:type="dxa"/>
      </w:tblCellMar>
    </w:tblPr>
  </w:style>
  <w:style w:type="table" w:styleId="Table31">
    <w:basedOn w:val="TableNormal"/>
    <w:tblPr>
      <w:tblStyleRowBandSize w:val="1"/>
      <w:tblStyleColBandSize w:val="1"/>
      <w:tblCellMar>
        <w:top w:w="90.0" w:type="dxa"/>
        <w:left w:w="140.0" w:type="dxa"/>
        <w:bottom w:w="90.0" w:type="dxa"/>
        <w:right w:w="140.0" w:type="dxa"/>
      </w:tblCellMar>
    </w:tblPr>
  </w:style>
  <w:style w:type="table" w:styleId="Table32">
    <w:basedOn w:val="TableNormal"/>
    <w:tblPr>
      <w:tblStyleRowBandSize w:val="1"/>
      <w:tblStyleColBandSize w:val="1"/>
      <w:tblCellMar>
        <w:top w:w="90.0" w:type="dxa"/>
        <w:left w:w="140.0" w:type="dxa"/>
        <w:bottom w:w="90.0" w:type="dxa"/>
        <w:right w:w="140.0" w:type="dxa"/>
      </w:tblCellMar>
    </w:tblPr>
  </w:style>
  <w:style w:type="table" w:styleId="Table33">
    <w:basedOn w:val="TableNormal"/>
    <w:tblPr>
      <w:tblStyleRowBandSize w:val="1"/>
      <w:tblStyleColBandSize w:val="1"/>
      <w:tblCellMar>
        <w:top w:w="90.0" w:type="dxa"/>
        <w:left w:w="140.0" w:type="dxa"/>
        <w:bottom w:w="90.0" w:type="dxa"/>
        <w:right w:w="140.0" w:type="dxa"/>
      </w:tblCellMar>
    </w:tblPr>
  </w:style>
  <w:style w:type="table" w:styleId="Table34">
    <w:basedOn w:val="TableNormal"/>
    <w:tblPr>
      <w:tblStyleRowBandSize w:val="1"/>
      <w:tblStyleColBandSize w:val="1"/>
      <w:tblCellMar>
        <w:top w:w="90.0" w:type="dxa"/>
        <w:left w:w="140.0" w:type="dxa"/>
        <w:bottom w:w="90.0" w:type="dxa"/>
        <w:right w:w="140.0" w:type="dxa"/>
      </w:tblCellMar>
    </w:tblPr>
  </w:style>
  <w:style w:type="table" w:styleId="Table35">
    <w:basedOn w:val="TableNormal"/>
    <w:tblPr>
      <w:tblStyleRowBandSize w:val="1"/>
      <w:tblStyleColBandSize w:val="1"/>
      <w:tblCellMar>
        <w:top w:w="90.0" w:type="dxa"/>
        <w:left w:w="140.0" w:type="dxa"/>
        <w:bottom w:w="90.0" w:type="dxa"/>
        <w:right w:w="140.0" w:type="dxa"/>
      </w:tblCellMar>
    </w:tblPr>
  </w:style>
  <w:style w:type="table" w:styleId="Table36">
    <w:basedOn w:val="TableNormal"/>
    <w:tblPr>
      <w:tblStyleRowBandSize w:val="1"/>
      <w:tblStyleColBandSize w:val="1"/>
      <w:tblCellMar>
        <w:top w:w="90.0" w:type="dxa"/>
        <w:left w:w="140.0" w:type="dxa"/>
        <w:bottom w:w="90.0" w:type="dxa"/>
        <w:right w:w="140.0" w:type="dxa"/>
      </w:tblCellMar>
    </w:tblPr>
  </w:style>
  <w:style w:type="table" w:styleId="Table37">
    <w:basedOn w:val="TableNormal"/>
    <w:tblPr>
      <w:tblStyleRowBandSize w:val="1"/>
      <w:tblStyleColBandSize w:val="1"/>
      <w:tblCellMar>
        <w:top w:w="90.0" w:type="dxa"/>
        <w:left w:w="140.0" w:type="dxa"/>
        <w:bottom w:w="90.0" w:type="dxa"/>
        <w:right w:w="140.0" w:type="dxa"/>
      </w:tblCellMar>
    </w:tblPr>
  </w:style>
  <w:style w:type="table" w:styleId="Table38">
    <w:basedOn w:val="TableNormal"/>
    <w:tblPr>
      <w:tblStyleRowBandSize w:val="1"/>
      <w:tblStyleColBandSize w:val="1"/>
      <w:tblCellMar>
        <w:top w:w="90.0" w:type="dxa"/>
        <w:left w:w="140.0" w:type="dxa"/>
        <w:bottom w:w="90.0" w:type="dxa"/>
        <w:right w:w="140.0" w:type="dxa"/>
      </w:tblCellMar>
    </w:tblPr>
  </w:style>
  <w:style w:type="table" w:styleId="Table39">
    <w:basedOn w:val="TableNormal"/>
    <w:tblPr>
      <w:tblStyleRowBandSize w:val="1"/>
      <w:tblStyleColBandSize w:val="1"/>
      <w:tblCellMar>
        <w:top w:w="90.0" w:type="dxa"/>
        <w:left w:w="140.0" w:type="dxa"/>
        <w:bottom w:w="90.0" w:type="dxa"/>
        <w:right w:w="140.0" w:type="dxa"/>
      </w:tblCellMar>
    </w:tblPr>
  </w:style>
  <w:style w:type="table" w:styleId="Table40">
    <w:basedOn w:val="TableNormal"/>
    <w:tblPr>
      <w:tblStyleRowBandSize w:val="1"/>
      <w:tblStyleColBandSize w:val="1"/>
      <w:tblCellMar>
        <w:top w:w="90.0" w:type="dxa"/>
        <w:left w:w="140.0" w:type="dxa"/>
        <w:bottom w:w="90.0" w:type="dxa"/>
        <w:right w:w="140.0" w:type="dxa"/>
      </w:tblCellMar>
    </w:tblPr>
  </w:style>
  <w:style w:type="table" w:styleId="Table41">
    <w:basedOn w:val="TableNormal"/>
    <w:tblPr>
      <w:tblStyleRowBandSize w:val="1"/>
      <w:tblStyleColBandSize w:val="1"/>
      <w:tblCellMar>
        <w:top w:w="90.0" w:type="dxa"/>
        <w:left w:w="140.0" w:type="dxa"/>
        <w:bottom w:w="90.0" w:type="dxa"/>
        <w:right w:w="140.0" w:type="dxa"/>
      </w:tblCellMar>
    </w:tblPr>
  </w:style>
  <w:style w:type="table" w:styleId="Table42">
    <w:basedOn w:val="TableNormal"/>
    <w:tblPr>
      <w:tblStyleRowBandSize w:val="1"/>
      <w:tblStyleColBandSize w:val="1"/>
      <w:tblCellMar>
        <w:top w:w="90.0" w:type="dxa"/>
        <w:left w:w="140.0" w:type="dxa"/>
        <w:bottom w:w="90.0" w:type="dxa"/>
        <w:right w:w="140.0" w:type="dxa"/>
      </w:tblCellMar>
    </w:tblPr>
  </w:style>
  <w:style w:type="table" w:styleId="Table43">
    <w:basedOn w:val="TableNormal"/>
    <w:tblPr>
      <w:tblStyleRowBandSize w:val="1"/>
      <w:tblStyleColBandSize w:val="1"/>
      <w:tblCellMar>
        <w:top w:w="90.0" w:type="dxa"/>
        <w:left w:w="140.0" w:type="dxa"/>
        <w:bottom w:w="90.0" w:type="dxa"/>
        <w:right w:w="140.0" w:type="dxa"/>
      </w:tblCellMar>
    </w:tblPr>
  </w:style>
  <w:style w:type="table" w:styleId="Table44">
    <w:basedOn w:val="TableNormal"/>
    <w:tblPr>
      <w:tblStyleRowBandSize w:val="1"/>
      <w:tblStyleColBandSize w:val="1"/>
      <w:tblCellMar>
        <w:top w:w="90.0" w:type="dxa"/>
        <w:left w:w="140.0" w:type="dxa"/>
        <w:bottom w:w="90.0" w:type="dxa"/>
        <w:right w:w="140.0" w:type="dxa"/>
      </w:tblCellMar>
    </w:tblPr>
  </w:style>
  <w:style w:type="table" w:styleId="Table45">
    <w:basedOn w:val="TableNormal"/>
    <w:tblPr>
      <w:tblStyleRowBandSize w:val="1"/>
      <w:tblStyleColBandSize w:val="1"/>
      <w:tblCellMar>
        <w:top w:w="90.0" w:type="dxa"/>
        <w:left w:w="140.0" w:type="dxa"/>
        <w:bottom w:w="90.0" w:type="dxa"/>
        <w:right w:w="140.0" w:type="dxa"/>
      </w:tblCellMar>
    </w:tblPr>
  </w:style>
  <w:style w:type="table" w:styleId="Table46">
    <w:basedOn w:val="TableNormal"/>
    <w:tblPr>
      <w:tblStyleRowBandSize w:val="1"/>
      <w:tblStyleColBandSize w:val="1"/>
      <w:tblCellMar>
        <w:top w:w="90.0" w:type="dxa"/>
        <w:left w:w="140.0" w:type="dxa"/>
        <w:bottom w:w="90.0" w:type="dxa"/>
        <w:right w:w="140.0" w:type="dxa"/>
      </w:tblCellMar>
    </w:tblPr>
  </w:style>
  <w:style w:type="table" w:styleId="Table47">
    <w:basedOn w:val="TableNormal"/>
    <w:tblPr>
      <w:tblStyleRowBandSize w:val="1"/>
      <w:tblStyleColBandSize w:val="1"/>
      <w:tblCellMar>
        <w:top w:w="90.0" w:type="dxa"/>
        <w:left w:w="140.0" w:type="dxa"/>
        <w:bottom w:w="90.0" w:type="dxa"/>
        <w:right w:w="140.0" w:type="dxa"/>
      </w:tblCellMar>
    </w:tblPr>
  </w:style>
  <w:style w:type="table" w:styleId="Table48">
    <w:basedOn w:val="TableNormal"/>
    <w:tblPr>
      <w:tblStyleRowBandSize w:val="1"/>
      <w:tblStyleColBandSize w:val="1"/>
      <w:tblCellMar>
        <w:top w:w="90.0" w:type="dxa"/>
        <w:left w:w="140.0" w:type="dxa"/>
        <w:bottom w:w="90.0" w:type="dxa"/>
        <w:right w:w="140.0" w:type="dxa"/>
      </w:tblCellMar>
    </w:tblPr>
  </w:style>
  <w:style w:type="table" w:styleId="Table49">
    <w:basedOn w:val="TableNormal"/>
    <w:tblPr>
      <w:tblStyleRowBandSize w:val="1"/>
      <w:tblStyleColBandSize w:val="1"/>
      <w:tblCellMar>
        <w:top w:w="90.0" w:type="dxa"/>
        <w:left w:w="140.0" w:type="dxa"/>
        <w:bottom w:w="90.0" w:type="dxa"/>
        <w:right w:w="140.0" w:type="dxa"/>
      </w:tblCellMar>
    </w:tblPr>
  </w:style>
  <w:style w:type="table" w:styleId="Table50">
    <w:basedOn w:val="TableNormal"/>
    <w:tblPr>
      <w:tblStyleRowBandSize w:val="1"/>
      <w:tblStyleColBandSize w:val="1"/>
      <w:tblCellMar>
        <w:top w:w="90.0" w:type="dxa"/>
        <w:left w:w="140.0" w:type="dxa"/>
        <w:bottom w:w="90.0" w:type="dxa"/>
        <w:right w:w="140.0" w:type="dxa"/>
      </w:tblCellMar>
    </w:tblPr>
  </w:style>
  <w:style w:type="table" w:styleId="Table51">
    <w:basedOn w:val="TableNormal"/>
    <w:tblPr>
      <w:tblStyleRowBandSize w:val="1"/>
      <w:tblStyleColBandSize w:val="1"/>
      <w:tblCellMar>
        <w:top w:w="90.0" w:type="dxa"/>
        <w:left w:w="140.0" w:type="dxa"/>
        <w:bottom w:w="90.0" w:type="dxa"/>
        <w:right w:w="140.0" w:type="dxa"/>
      </w:tblCellMar>
    </w:tblPr>
  </w:style>
  <w:style w:type="table" w:styleId="Table52">
    <w:basedOn w:val="TableNormal"/>
    <w:tblPr>
      <w:tblStyleRowBandSize w:val="1"/>
      <w:tblStyleColBandSize w:val="1"/>
      <w:tblCellMar>
        <w:top w:w="90.0" w:type="dxa"/>
        <w:left w:w="140.0" w:type="dxa"/>
        <w:bottom w:w="90.0" w:type="dxa"/>
        <w:right w:w="14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stagram.com/p/DZdK0rOxDKI/" TargetMode="External"/><Relationship Id="rId7" Type="http://schemas.openxmlformats.org/officeDocument/2006/relationships/hyperlink" Target="https://youtu.be/0sxbAKuJoy4?t=317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Nova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