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船舶智能监控系统 告警模型开发需求清单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对应标准：</w:t>
      </w:r>
      <w:r>
        <w:rPr>
          <w:rFonts w:eastAsia="等线" w:ascii="Arial" w:cs="Arial" w:hAnsi="Arial"/>
          <w:sz w:val="22"/>
        </w:rPr>
        <w:t>《船舶智能监控系统技术指南2.0》</w:t>
      </w:r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【必选】= 标准强制要求，对应船型必须实现；【可选】= 标准标注选配项，可按船舶运营场景裁剪。重复抑制指相同告警连续触发的最小时间间隔，间隔内不重复上报。所有船端告警均支持本地语音播报 + 岸基平台同步上报；断网时本地告警正常触发，网络恢复后自动补传。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一、通用基础告警（所有船型 · 驾驶室场景）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50"/>
        <w:gridCol w:w="1515"/>
        <w:gridCol w:w="2580"/>
        <w:gridCol w:w="705"/>
        <w:gridCol w:w="915"/>
        <w:gridCol w:w="2115"/>
      </w:tblGrid>
      <w:tr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编号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告警名称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触发规则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风险等级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重复抑制间隔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疲劳驾驶-闭眼检测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驾驶员持续闭眼 ≥ 10s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20s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纯视觉识别</w:t>
            </w:r>
          </w:p>
        </w:tc>
      </w:tr>
      <w:tr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疲劳驾驶-打哈欠检测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 分钟内驾驶员连续打哈欠 ≥ 5 次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10min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纯视觉识别</w:t>
            </w:r>
          </w:p>
        </w:tc>
      </w:tr>
      <w:tr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值班超时未交接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超出规定值班时长半小时未完成交接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10min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结合排班规则</w:t>
            </w:r>
          </w:p>
        </w:tc>
      </w:tr>
      <w:tr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航行无人在岗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航行状态下，驾驶区域无人员 ≥ 1min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1min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纯视觉识别</w:t>
            </w:r>
          </w:p>
        </w:tc>
      </w:tr>
      <w:tr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航行无适任驾驶员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航行状态下，区域内无适任资质驾驶员 ≥ 2min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3min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人脸识别 + 资质库</w:t>
            </w:r>
          </w:p>
        </w:tc>
      </w:tr>
      <w:tr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值班使用手机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航行状态 + 值班区域内，识别人员操作手机 ≥ 1min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1min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纯视觉识别</w:t>
            </w:r>
          </w:p>
        </w:tc>
      </w:tr>
      <w:tr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视频设备异常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摄像头遮挡、黑屏、离线、朝向异常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4h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设备状态检测</w:t>
            </w:r>
          </w:p>
        </w:tc>
      </w:tr>
      <w:tr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终端离线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船载智能终端断连离线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4h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设备状态检测</w:t>
            </w:r>
          </w:p>
        </w:tc>
      </w:tr>
      <w:tr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AIS 设备异常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AIS 信号离线 ≥ 5min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4h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AIS 数据对接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航行合规类（AIS + 电子海图融合）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50"/>
        <w:gridCol w:w="1515"/>
        <w:gridCol w:w="2580"/>
        <w:gridCol w:w="705"/>
        <w:gridCol w:w="915"/>
        <w:gridCol w:w="2115"/>
      </w:tblGrid>
      <w:tr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编号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告警名称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触发规则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风险等级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重复抑制间隔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未按规定航速航行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船舶航速不满足区域限速要求 ≥ 5min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5min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【必选】</w:t>
            </w:r>
          </w:p>
        </w:tc>
      </w:tr>
      <w:tr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未按航行规则航行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航道外航行、未在横驶区横驶等 ≥ 5min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5min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【可选】</w:t>
            </w:r>
          </w:p>
        </w:tc>
      </w:tr>
      <w:tr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未按规定区域停泊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未在指定锚地 / 停泊区停泊 ≥ 5min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5min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【可选】</w:t>
            </w:r>
          </w:p>
        </w:tc>
      </w:tr>
      <w:tr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船长未按规定监航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监航区域未识别到船长 ≥ 5min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5min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【可选】人脸识别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二、油船 / 气体运输船 / 化学品液货船 专项告警</w:t>
      </w:r>
      <w:bookmarkEnd w:id="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甲板区域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50"/>
        <w:gridCol w:w="1515"/>
        <w:gridCol w:w="2580"/>
        <w:gridCol w:w="705"/>
        <w:gridCol w:w="915"/>
        <w:gridCol w:w="2115"/>
      </w:tblGrid>
      <w:tr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编号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告警名称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触发规则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风险等级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重复抑制间隔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甲板明火明烟检测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甲板区域识别明火、明烟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10s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【必选】纯视觉</w:t>
            </w:r>
          </w:p>
        </w:tc>
      </w:tr>
      <w:tr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甲板违规吸烟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甲板禁烟区内识别人员吸烟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1min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【必选】纯视觉</w:t>
            </w:r>
          </w:p>
        </w:tc>
      </w:tr>
      <w:tr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未佩戴安全帽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作业区域人员未佩戴安全帽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5min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【必选】纯视觉</w:t>
            </w:r>
          </w:p>
        </w:tc>
      </w:tr>
      <w:tr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未穿救生衣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作业区域人员未穿救生衣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5min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【必选】纯视觉</w:t>
            </w:r>
          </w:p>
        </w:tc>
      </w:tr>
      <w:tr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航行中开舱盖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航行过程中识别货舱盖开启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3min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【必选】纯视觉</w:t>
            </w:r>
          </w:p>
        </w:tc>
      </w:tr>
      <w:tr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高温时段违规作业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高温期未开启喷淋、未停止装卸作业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30min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【可选】结合温感</w:t>
            </w:r>
          </w:p>
        </w:tc>
      </w:tr>
      <w:tr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未穿工作服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作业人员服装与工作服不符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5min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【可选】纯视觉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机舱区域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50"/>
        <w:gridCol w:w="1515"/>
        <w:gridCol w:w="2580"/>
        <w:gridCol w:w="705"/>
        <w:gridCol w:w="915"/>
        <w:gridCol w:w="2115"/>
      </w:tblGrid>
      <w:tr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编号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告警名称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触发规则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风险等级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重复抑制间隔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21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机舱未定期巡查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航行中机舱未按要求巡查（间隔 ≥ 1h）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10min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【必选】人员轨迹识别</w:t>
            </w:r>
          </w:p>
        </w:tc>
      </w:tr>
      <w:tr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22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机舱明火明烟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机舱内识别明火、明烟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10s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【必选】纯视觉</w:t>
            </w:r>
          </w:p>
        </w:tc>
      </w:tr>
      <w:tr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23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机舱人员吸烟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机舱内识别人员吸烟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1min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【必选】纯视觉</w:t>
            </w:r>
          </w:p>
        </w:tc>
      </w:tr>
      <w:tr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24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机舱未穿工作服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机舱人员服装与工作服不符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5min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【可选】纯视觉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泵舱 &amp; 船岸界面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50"/>
        <w:gridCol w:w="1515"/>
        <w:gridCol w:w="2580"/>
        <w:gridCol w:w="705"/>
        <w:gridCol w:w="915"/>
        <w:gridCol w:w="2115"/>
      </w:tblGrid>
      <w:tr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编号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告警名称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触发规则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风险等级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重复抑制间隔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泵舱无人值守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有人进入泵舱，舱门口无人值守 ≥ 1min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3min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【可选】纯视觉</w:t>
            </w:r>
          </w:p>
        </w:tc>
      </w:tr>
      <w:tr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26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装卸作业现场离岗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作业区域无值班人员 ≥ 30min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10min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【必选】纯视觉</w:t>
            </w:r>
          </w:p>
        </w:tc>
      </w:tr>
      <w:tr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27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装卸作业不规范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作业区域未放置灭火 / 防污器材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10min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【必选】纯视觉</w:t>
            </w:r>
          </w:p>
        </w:tc>
      </w:tr>
      <w:tr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28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液化气体泄漏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装卸区域大面积水雾凝结（占画面 1/2 以上）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1min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【可选】液化气船专用</w:t>
            </w:r>
          </w:p>
        </w:tc>
      </w:tr>
      <w:tr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29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未设置安全网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靠泊期间作业区域无安全网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10min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【可选】纯视觉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三、客船（含客滚船）专项告警</w:t>
      </w:r>
      <w:bookmarkEnd w:id="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甲板 / 登乘区域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50"/>
        <w:gridCol w:w="1515"/>
        <w:gridCol w:w="2580"/>
        <w:gridCol w:w="705"/>
        <w:gridCol w:w="915"/>
        <w:gridCol w:w="2115"/>
      </w:tblGrid>
      <w:tr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编号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告警名称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触发规则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风险等级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重复抑制间隔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未维护乘客秩序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上下船时段登乘区无安保人员 ≥ 10min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10min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【必选】纯视觉</w:t>
            </w:r>
          </w:p>
        </w:tc>
      </w:tr>
      <w:tr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31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客滚车辆处所明火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车辆舱内识别明火、明烟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10s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【必选】纯视觉</w:t>
            </w:r>
          </w:p>
        </w:tc>
      </w:tr>
      <w:tr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32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翻越栏杆 / 人员落水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人员翻越舷边栏杆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10s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【可选】纯视觉</w:t>
            </w:r>
          </w:p>
        </w:tc>
      </w:tr>
      <w:tr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33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登乘区未装安全网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靠离泊期间登乘区域未安装安全网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10min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【可选】纯视觉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机舱 &amp; 乘客处所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50"/>
        <w:gridCol w:w="1515"/>
        <w:gridCol w:w="2580"/>
        <w:gridCol w:w="705"/>
        <w:gridCol w:w="915"/>
        <w:gridCol w:w="2115"/>
      </w:tblGrid>
      <w:tr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编号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告警名称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触发规则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风险等级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重复抑制间隔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34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机舱未佩戴安全帽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机舱内人员未戴安全帽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5min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【必选】纯视觉</w:t>
            </w:r>
          </w:p>
        </w:tc>
      </w:tr>
      <w:tr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35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机舱未定期巡查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航行中机舱未按要求巡查（间隔 ≥ 1h）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10min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【必选】人员轨迹</w:t>
            </w:r>
          </w:p>
        </w:tc>
      </w:tr>
      <w:tr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36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机舱明火明烟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机舱内识别明火、明烟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10s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【必选】纯视觉</w:t>
            </w:r>
          </w:p>
        </w:tc>
      </w:tr>
      <w:tr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37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乘客区域明火明烟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客舱公共区域识别明火、明烟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10s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【必选】纯视觉</w:t>
            </w:r>
          </w:p>
        </w:tc>
      </w:tr>
      <w:tr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38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乘客打架斗殴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公共区域乘客推搡、打架斗殴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3min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【可选】纯视觉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四、普通货船 基础告警集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仅需实现「一、通用基础告警」全部条目，外加以下 2 项甲板告警：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50"/>
        <w:gridCol w:w="1815"/>
        <w:gridCol w:w="3330"/>
        <w:gridCol w:w="810"/>
        <w:gridCol w:w="915"/>
        <w:gridCol w:w="960"/>
      </w:tblGrid>
      <w:tr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编号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告警名称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触发规则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风险等级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重复抑制间隔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39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甲板未穿救生衣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甲板作业人员未穿救生衣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5min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必选</w:t>
            </w:r>
          </w:p>
        </w:tc>
      </w:tr>
      <w:tr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</w:t>
            </w:r>
          </w:p>
        </w:tc>
        <w:tc>
          <w:tcPr>
            <w:tcW w:w="18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甲板未佩戴安全帽</w:t>
            </w:r>
          </w:p>
        </w:tc>
        <w:tc>
          <w:tcPr>
            <w:tcW w:w="33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甲板作业人员未戴安全帽</w:t>
            </w:r>
          </w:p>
        </w:tc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5min</w:t>
            </w:r>
          </w:p>
        </w:tc>
        <w:tc>
          <w:tcPr>
            <w:tcW w:w="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必选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五、岸基企业值班室 告警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50"/>
        <w:gridCol w:w="1515"/>
        <w:gridCol w:w="2580"/>
        <w:gridCol w:w="705"/>
        <w:gridCol w:w="915"/>
        <w:gridCol w:w="2115"/>
      </w:tblGrid>
      <w:tr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编号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告警名称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触发规则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风险等级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重复抑制间隔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41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值班趴睡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值班人员持续趴睡 ≥ 5min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15min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【必选】纯视觉</w:t>
            </w:r>
          </w:p>
        </w:tc>
      </w:tr>
      <w:tr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42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值班躺睡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值班人员持续躺睡 ≥ 5min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15min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【必选】纯视觉</w:t>
            </w:r>
          </w:p>
        </w:tc>
      </w:tr>
      <w:tr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43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值班人员离岗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值班室无人员在岗 ≥ 5min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15min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【必选】纯视觉</w:t>
            </w:r>
          </w:p>
        </w:tc>
      </w:tr>
      <w:tr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44</w:t>
            </w:r>
          </w:p>
        </w:tc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值班室设备异常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摄像头遮挡 / 离线、终端离线</w:t>
            </w:r>
          </w:p>
        </w:tc>
        <w:tc>
          <w:tcPr>
            <w:tcW w:w="7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2h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【必选】设备状态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六、告警处置逻辑（平台侧【必选】）</w:t>
      </w:r>
      <w:bookmarkEnd w:id="1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分级播报：</w:t>
      </w:r>
      <w:r>
        <w:rPr>
          <w:rFonts w:eastAsia="等线" w:ascii="Arial" w:cs="Arial" w:hAnsi="Arial"/>
          <w:sz w:val="22"/>
        </w:rPr>
        <w:t>多告警同时触发时，按风险等级从高到低依次播报。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二次升级：</w:t>
      </w:r>
      <w:r>
        <w:rPr>
          <w:rFonts w:eastAsia="等线" w:ascii="Arial" w:cs="Arial" w:hAnsi="Arial"/>
          <w:sz w:val="22"/>
        </w:rPr>
        <w:t>同一自然日同一告警连续发生 2 次，推送船长，要求 15min 内确警处置。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三次升级：</w:t>
      </w:r>
      <w:r>
        <w:rPr>
          <w:rFonts w:eastAsia="等线" w:ascii="Arial" w:cs="Arial" w:hAnsi="Arial"/>
          <w:sz w:val="22"/>
        </w:rPr>
        <w:t>同一自然日同一告警连续发生 3 次，或船长 15min 未处置，推送企业相关负责人。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高风险直送：</w:t>
      </w:r>
      <w:r>
        <w:rPr>
          <w:rFonts w:eastAsia="等线" w:ascii="Arial" w:cs="Arial" w:hAnsi="Arial"/>
          <w:sz w:val="22"/>
        </w:rPr>
        <w:t>高风险告警直接同步通知船长 + 企业相关负责人。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离线告警：</w:t>
      </w:r>
      <w:r>
        <w:rPr>
          <w:rFonts w:eastAsia="等线" w:ascii="Arial" w:cs="Arial" w:hAnsi="Arial"/>
          <w:sz w:val="22"/>
        </w:rPr>
        <w:t>船舶终端离线 ≥ 30min，触发岸基平台告警。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b w:val="true"/>
          <w:sz w:val="36"/>
        </w:rPr>
        <w:t>七、开发硬性约束</w:t>
      </w:r>
      <w:bookmarkEnd w:id="12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识别 + 告警总延迟 ≤ 1.5s。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告警检出率 ≥ 90%，准确率 ≥ 90%。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告警抓拍：≥ 1 张 720P 带锚框全景图（叠加船名、时间、位置、航速）；≥ 10s 短视频（告警前后各 5s），均带 MD5 校验。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本地语音播报音量 ≥ 60 分贝，高风险告警使用特殊提示音。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|（注：部分内容由豆包工作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54438">
    <w:lvl>
      <w:start w:val="1"/>
      <w:numFmt w:val="decimal"/>
      <w:suff w:val="tab"/>
      <w:lvlText w:val="%1."/>
      <w:rPr>
        <w:color w:val="3370ff"/>
      </w:rPr>
    </w:lvl>
  </w:abstractNum>
  <w:abstractNum w:abstractNumId="154439">
    <w:lvl>
      <w:start w:val="2"/>
      <w:numFmt w:val="decimal"/>
      <w:suff w:val="tab"/>
      <w:lvlText w:val="%1."/>
      <w:rPr>
        <w:color w:val="3370ff"/>
      </w:rPr>
    </w:lvl>
  </w:abstractNum>
  <w:abstractNum w:abstractNumId="154440">
    <w:lvl>
      <w:start w:val="3"/>
      <w:numFmt w:val="decimal"/>
      <w:suff w:val="tab"/>
      <w:lvlText w:val="%1."/>
      <w:rPr>
        <w:color w:val="3370ff"/>
      </w:rPr>
    </w:lvl>
  </w:abstractNum>
  <w:abstractNum w:abstractNumId="154441">
    <w:lvl>
      <w:start w:val="4"/>
      <w:numFmt w:val="decimal"/>
      <w:suff w:val="tab"/>
      <w:lvlText w:val="%1."/>
      <w:rPr>
        <w:color w:val="3370ff"/>
      </w:rPr>
    </w:lvl>
  </w:abstractNum>
  <w:abstractNum w:abstractNumId="154442">
    <w:lvl>
      <w:start w:val="5"/>
      <w:numFmt w:val="decimal"/>
      <w:suff w:val="tab"/>
      <w:lvlText w:val="%1."/>
      <w:rPr>
        <w:color w:val="3370ff"/>
      </w:rPr>
    </w:lvl>
  </w:abstractNum>
  <w:abstractNum w:abstractNumId="154443">
    <w:lvl>
      <w:numFmt w:val="bullet"/>
      <w:suff w:val="tab"/>
      <w:lvlText w:val="•"/>
      <w:rPr>
        <w:color w:val="3370ff"/>
      </w:rPr>
    </w:lvl>
  </w:abstractNum>
  <w:abstractNum w:abstractNumId="154444">
    <w:lvl>
      <w:numFmt w:val="bullet"/>
      <w:suff w:val="tab"/>
      <w:lvlText w:val="•"/>
      <w:rPr>
        <w:color w:val="3370ff"/>
      </w:rPr>
    </w:lvl>
  </w:abstractNum>
  <w:abstractNum w:abstractNumId="154445">
    <w:lvl>
      <w:numFmt w:val="bullet"/>
      <w:suff w:val="tab"/>
      <w:lvlText w:val="•"/>
      <w:rPr>
        <w:color w:val="3370ff"/>
      </w:rPr>
    </w:lvl>
  </w:abstractNum>
  <w:abstractNum w:abstractNumId="154446">
    <w:lvl>
      <w:numFmt w:val="bullet"/>
      <w:suff w:val="tab"/>
      <w:lvlText w:val="•"/>
      <w:rPr>
        <w:color w:val="3370ff"/>
      </w:rPr>
    </w:lvl>
  </w:abstractNum>
  <w:num w:numId="1">
    <w:abstractNumId w:val="154438"/>
  </w:num>
  <w:num w:numId="2">
    <w:abstractNumId w:val="154439"/>
  </w:num>
  <w:num w:numId="3">
    <w:abstractNumId w:val="154440"/>
  </w:num>
  <w:num w:numId="4">
    <w:abstractNumId w:val="154441"/>
  </w:num>
  <w:num w:numId="5">
    <w:abstractNumId w:val="154442"/>
  </w:num>
  <w:num w:numId="6">
    <w:abstractNumId w:val="154443"/>
  </w:num>
  <w:num w:numId="7">
    <w:abstractNumId w:val="154444"/>
  </w:num>
  <w:num w:numId="8">
    <w:abstractNumId w:val="154445"/>
  </w:num>
  <w:num w:numId="9">
    <w:abstractNumId w:val="15444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2026-10-13T02:27:27Z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{"Label":"1","ContentProducer":"001191110102MACQD9K64010000","ProduceID":"7695973423465499835","ReservedCode1":"","ContentPropagator":"","PropagateID":"","ReservedCode2":""}</vt:lpwstr>
  </property>
</Properties>
</file>