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D6D7E"/>
          <w:sz w:val="20"/>
          <w:szCs w:val="20"/>
        </w:rPr>
        <w:t xml:space="preserve">AGRI-TECH PLATFORM — CAPSTONE PROJECT</w:t>
      </w:r>
    </w:p>
    <w:p>
      <w:pPr>
        <w:pBdr>
          <w:bottom w:val="single" w:color="CCCCCC" w:sz="4" w:space="4"/>
        </w:pBdr>
        <w:spacing w:after="0" w:before="0"/>
      </w:pPr>
      <w:r>
        <w:rPr>
          <w:rFonts w:ascii="Arial" w:cs="Arial" w:eastAsia="Arial" w:hAnsi="Arial"/>
          <w:color w:val="5D6D7E"/>
          <w:sz w:val="20"/>
          <w:szCs w:val="20"/>
        </w:rPr>
        <w:t xml:space="preserve">Response to Professor's Feedback on Project Documentation</w:t>
      </w:r>
    </w:p>
    <w:p>
      <w:pPr>
        <w:spacing w:after="0" w:before="240"/>
      </w:pPr>
    </w:p>
    <w:p>
      <w:pPr>
        <w:spacing w:after="100" w:before="0"/>
      </w:pPr>
      <w:r>
        <w:rPr>
          <w:rFonts w:ascii="Arial" w:cs="Arial" w:eastAsia="Arial" w:hAnsi="Arial"/>
          <w:color w:val="1C2833"/>
          <w:sz w:val="22"/>
          <w:szCs w:val="22"/>
        </w:rPr>
        <w:t xml:space="preserve">To Our Professor,</w:t>
      </w:r>
    </w:p>
    <w:p>
      <w:pPr>
        <w:spacing w:after="80" w:before="80" w:line="360"/>
        <w:jc w:val="both"/>
      </w:pPr>
      <w:r>
        <w:rPr>
          <w:rFonts w:ascii="Arial" w:cs="Arial" w:eastAsia="Arial" w:hAnsi="Arial"/>
          <w:color w:val="1C2833"/>
          <w:sz w:val="22"/>
          <w:szCs w:val="22"/>
        </w:rPr>
        <w:t xml:space="preserve">Thank you for the detailed and constructive feedback on our Agri-Tech Platform documentation. We have carefully reviewed each concern raised and prepared the following point-by-point responses. We have also revised the full project documentation accordingly, and the updated version is submitted alongside this response letter.</w:t>
      </w:r>
    </w:p>
    <w:p>
      <w:pPr>
        <w:spacing w:after="80" w:before="80" w:line="360"/>
        <w:jc w:val="both"/>
      </w:pPr>
      <w:r>
        <w:rPr>
          <w:rFonts w:ascii="Arial" w:cs="Arial" w:eastAsia="Arial" w:hAnsi="Arial"/>
          <w:color w:val="1C2833"/>
          <w:sz w:val="22"/>
          <w:szCs w:val="22"/>
        </w:rPr>
        <w:t xml:space="preserve">We take full ownership of the gaps identified in the initial submission and are committed to demonstrating the depth and rigor the project deserves.</w:t>
      </w:r>
    </w:p>
    <w:p>
      <w:pPr>
        <w:spacing w:after="0" w:before="80"/>
      </w:pPr>
    </w:p>
    <w:p>
      <w:pPr>
        <w:pBdr>
          <w:bottom w:val="single" w:color="1A6B3C" w:sz="6" w:space="4"/>
        </w:pBdr>
        <w:spacing w:after="160" w:before="400"/>
      </w:pPr>
      <w:r>
        <w:rPr>
          <w:rFonts w:ascii="Arial" w:cs="Arial" w:eastAsia="Arial" w:hAnsi="Arial"/>
          <w:b/>
          <w:bCs/>
          <w:color w:val="1A6B3C"/>
          <w:sz w:val="32"/>
          <w:szCs w:val="32"/>
        </w:rPr>
        <w:t xml:space="preserve">1. Introduction — Depth and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The Introduction section is extremely brief and doesn't adequately establish the problem being solved, the application's unique value proposition, or the overall goals of the project.</w:t>
            </w:r>
          </w:p>
        </w:tc>
      </w:tr>
    </w:tbl>
    <w:p>
      <w:pPr>
        <w:spacing w:after="0" w:before="80"/>
      </w:pPr>
    </w:p>
    <w:p>
      <w:pPr>
        <w:spacing w:after="100" w:before="280"/>
      </w:pPr>
      <w:r>
        <w:rPr>
          <w:rFonts w:ascii="Arial" w:cs="Arial" w:eastAsia="Arial" w:hAnsi="Arial"/>
          <w:b/>
          <w:bCs/>
          <w:color w:val="0D4A2A"/>
          <w:sz w:val="26"/>
          <w:szCs w:val="26"/>
        </w:rPr>
        <w:t xml:space="preserve">Our Response</w:t>
      </w:r>
    </w:p>
    <w:p>
      <w:pPr>
        <w:spacing w:after="80" w:before="80" w:line="360"/>
        <w:jc w:val="both"/>
      </w:pPr>
      <w:r>
        <w:rPr>
          <w:rFonts w:ascii="Arial" w:cs="Arial" w:eastAsia="Arial" w:hAnsi="Arial"/>
          <w:color w:val="1C2833"/>
          <w:sz w:val="22"/>
          <w:szCs w:val="22"/>
        </w:rPr>
        <w:t xml:space="preserve">We acknowledge that the original Introduction was insufficient. In the revised documentation, the Introduction has been expanded into five structured subsections:</w:t>
      </w:r>
    </w:p>
    <w:p>
      <w:pPr>
        <w:pStyle w:val="ListParagraph"/>
        <w:numPr>
          <w:ilvl w:val="0"/>
          <w:numId w:val="2"/>
        </w:numPr>
        <w:spacing w:after="50" w:before="50" w:line="320"/>
      </w:pPr>
      <w:r>
        <w:rPr>
          <w:rFonts w:ascii="Arial" w:cs="Arial" w:eastAsia="Arial" w:hAnsi="Arial"/>
          <w:b/>
          <w:bCs/>
          <w:color w:val="1C2833"/>
          <w:sz w:val="22"/>
          <w:szCs w:val="22"/>
        </w:rPr>
        <w:t xml:space="preserve">1.1 Background and Problem Statement — </w:t>
      </w:r>
      <w:r>
        <w:rPr>
          <w:rFonts w:ascii="Arial" w:cs="Arial" w:eastAsia="Arial" w:hAnsi="Arial"/>
          <w:color w:val="1C2833"/>
          <w:sz w:val="22"/>
          <w:szCs w:val="22"/>
        </w:rPr>
        <w:t xml:space="preserve">This subsection now explicitly establishes the agricultural context in the Philippines, citing Philippine Statistics Authority (PSA) data showing post-harvest losses of 30–40% for perishable crops due to poor crop monitoring and pest management. It explains why existing digital tools are inadequate for Filipino smallholder farmers — they are either narrowly focused, prohibitively expensive, or not designed with local agricultural realities in mind.</w:t>
      </w:r>
    </w:p>
    <w:p>
      <w:pPr>
        <w:pStyle w:val="ListParagraph"/>
        <w:numPr>
          <w:ilvl w:val="0"/>
          <w:numId w:val="2"/>
        </w:numPr>
        <w:spacing w:after="50" w:before="50" w:line="320"/>
      </w:pPr>
      <w:r>
        <w:rPr>
          <w:rFonts w:ascii="Arial" w:cs="Arial" w:eastAsia="Arial" w:hAnsi="Arial"/>
          <w:b/>
          <w:bCs/>
          <w:color w:val="1C2833"/>
          <w:sz w:val="22"/>
          <w:szCs w:val="22"/>
        </w:rPr>
        <w:t xml:space="preserve">1.2 Project Description — </w:t>
      </w:r>
      <w:r>
        <w:rPr>
          <w:rFonts w:ascii="Arial" w:cs="Arial" w:eastAsia="Arial" w:hAnsi="Arial"/>
          <w:color w:val="1C2833"/>
          <w:sz w:val="22"/>
          <w:szCs w:val="22"/>
        </w:rPr>
        <w:t xml:space="preserve">This subsection describes the Agri-Tech Platform as an end-to-end digital solution covering the full lifecycle of farm operations: from planting guidance and crop monitoring to pest alerts, expert consultation, and marketplace access.</w:t>
      </w:r>
    </w:p>
    <w:p>
      <w:pPr>
        <w:pStyle w:val="ListParagraph"/>
        <w:numPr>
          <w:ilvl w:val="0"/>
          <w:numId w:val="2"/>
        </w:numPr>
        <w:spacing w:after="50" w:before="50" w:line="320"/>
      </w:pPr>
      <w:r>
        <w:rPr>
          <w:rFonts w:ascii="Arial" w:cs="Arial" w:eastAsia="Arial" w:hAnsi="Arial"/>
          <w:b/>
          <w:bCs/>
          <w:color w:val="1C2833"/>
          <w:sz w:val="22"/>
          <w:szCs w:val="22"/>
        </w:rPr>
        <w:t xml:space="preserve">1.3 Project Objectives — </w:t>
      </w:r>
      <w:r>
        <w:rPr>
          <w:rFonts w:ascii="Arial" w:cs="Arial" w:eastAsia="Arial" w:hAnsi="Arial"/>
          <w:color w:val="1C2833"/>
          <w:sz w:val="22"/>
          <w:szCs w:val="22"/>
        </w:rPr>
        <w:t xml:space="preserve">Five distinct objectives are now stated: a Primary Objective (technical delivery), a Technical Objective (MERN demonstration), an Operational Objective (real-time monitoring), an Economic Objective (marketplace access), and an Advisory Objective (expert access).</w:t>
      </w:r>
    </w:p>
    <w:p>
      <w:pPr>
        <w:pStyle w:val="ListParagraph"/>
        <w:numPr>
          <w:ilvl w:val="0"/>
          <w:numId w:val="2"/>
        </w:numPr>
        <w:spacing w:after="50" w:before="50" w:line="320"/>
      </w:pPr>
      <w:r>
        <w:rPr>
          <w:rFonts w:ascii="Arial" w:cs="Arial" w:eastAsia="Arial" w:hAnsi="Arial"/>
          <w:b/>
          <w:bCs/>
          <w:color w:val="1C2833"/>
          <w:sz w:val="22"/>
          <w:szCs w:val="22"/>
        </w:rPr>
        <w:t xml:space="preserve">1.4 Scope and Limitations — </w:t>
      </w:r>
      <w:r>
        <w:rPr>
          <w:rFonts w:ascii="Arial" w:cs="Arial" w:eastAsia="Arial" w:hAnsi="Arial"/>
          <w:color w:val="1C2833"/>
          <w:sz w:val="22"/>
          <w:szCs w:val="22"/>
        </w:rPr>
        <w:t xml:space="preserve">The revised documentation clearly defines what the platform covers and what it explicitly does not cover in its current version (e.g., no soil sensor integration, no real-time payment processing, no native mobile app).</w:t>
      </w:r>
    </w:p>
    <w:p>
      <w:pPr>
        <w:pStyle w:val="ListParagraph"/>
        <w:numPr>
          <w:ilvl w:val="0"/>
          <w:numId w:val="2"/>
        </w:numPr>
        <w:spacing w:after="50" w:before="50" w:line="320"/>
      </w:pPr>
      <w:r>
        <w:rPr>
          <w:rFonts w:ascii="Arial" w:cs="Arial" w:eastAsia="Arial" w:hAnsi="Arial"/>
          <w:b/>
          <w:bCs/>
          <w:color w:val="1C2833"/>
          <w:sz w:val="22"/>
          <w:szCs w:val="22"/>
        </w:rPr>
        <w:t xml:space="preserve">1.5 Significance of the Project — </w:t>
      </w:r>
      <w:r>
        <w:rPr>
          <w:rFonts w:ascii="Arial" w:cs="Arial" w:eastAsia="Arial" w:hAnsi="Arial"/>
          <w:color w:val="1C2833"/>
          <w:sz w:val="22"/>
          <w:szCs w:val="22"/>
        </w:rPr>
        <w:t xml:space="preserve">This subsection directly addresses the unique value proposition: reducing information asymmetry for Filipino farmers, providing a replicable model for agricultural digitization, and advancing food security through technology.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BF5EB" w:val="clear"/>
            <w:tcMar>
              <w:top w:type="dxa" w:w="120"/>
              <w:left w:type="dxa" w:w="240"/>
              <w:bottom w:type="dxa" w:w="120"/>
              <w:right w:type="dxa" w:w="240"/>
            </w:tcMar>
          </w:tcPr>
          <w:p>
            <w:r>
              <w:rPr>
                <w:rFonts w:ascii="Arial" w:cs="Arial" w:eastAsia="Arial" w:hAnsi="Arial"/>
                <w:i/>
                <w:iCs/>
                <w:color w:val="1C2833"/>
                <w:sz w:val="21"/>
                <w:szCs w:val="21"/>
              </w:rPr>
              <w:t xml:space="preserve">Unique Value Proposition (revised): The Agri-Tech Platform is one of the first locally-contextual, fully integrated MERN stack platforms targeting Filipino smallholder farmers — combining real-time weather intelligence, rule-based pest alerts calibrated to Philippine crop vulnerabilities, and peer-to-peer marketplace access in a single, free-to-access web application.</w:t>
            </w:r>
          </w:p>
        </w:tc>
      </w:tr>
    </w:tbl>
    <w:p>
      <w:pPr>
        <w:spacing w:after="0" w:before="120"/>
      </w:pPr>
    </w:p>
    <w:p>
      <w:pPr>
        <w:pBdr>
          <w:bottom w:val="single" w:color="1A6B3C" w:sz="6" w:space="4"/>
        </w:pBdr>
        <w:spacing w:after="160" w:before="400"/>
      </w:pPr>
      <w:r>
        <w:rPr>
          <w:rFonts w:ascii="Arial" w:cs="Arial" w:eastAsia="Arial" w:hAnsi="Arial"/>
          <w:b/>
          <w:bCs/>
          <w:color w:val="1A6B3C"/>
          <w:sz w:val="32"/>
          <w:szCs w:val="32"/>
        </w:rPr>
        <w:t xml:space="preserve">2. System Architecture — Vagueness and Missing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The System Architecture section is disappointingly vague. There's no detailed breakdown of how MongoDB, Express, React, and Node interact. A diagram would be invaluable, and a description of API endpoints is missing.</w:t>
            </w:r>
          </w:p>
        </w:tc>
      </w:tr>
    </w:tbl>
    <w:p>
      <w:pPr>
        <w:spacing w:after="0" w:before="80"/>
      </w:pPr>
    </w:p>
    <w:p>
      <w:pPr>
        <w:spacing w:after="100" w:before="280"/>
      </w:pPr>
      <w:r>
        <w:rPr>
          <w:rFonts w:ascii="Arial" w:cs="Arial" w:eastAsia="Arial" w:hAnsi="Arial"/>
          <w:b/>
          <w:bCs/>
          <w:color w:val="0D4A2A"/>
          <w:sz w:val="26"/>
          <w:szCs w:val="26"/>
        </w:rPr>
        <w:t xml:space="preserve">Our Response</w:t>
      </w:r>
    </w:p>
    <w:p>
      <w:pPr>
        <w:spacing w:after="80" w:before="80" w:line="360"/>
        <w:jc w:val="both"/>
      </w:pPr>
      <w:r>
        <w:rPr>
          <w:rFonts w:ascii="Arial" w:cs="Arial" w:eastAsia="Arial" w:hAnsi="Arial"/>
          <w:color w:val="1C2833"/>
          <w:sz w:val="22"/>
          <w:szCs w:val="22"/>
        </w:rPr>
        <w:t xml:space="preserve">The System Architecture section has been completely rewritten and now spans multiple subsections:</w:t>
      </w:r>
    </w:p>
    <w:p>
      <w:pPr>
        <w:pStyle w:val="ListParagraph"/>
        <w:numPr>
          <w:ilvl w:val="0"/>
          <w:numId w:val="2"/>
        </w:numPr>
        <w:spacing w:after="50" w:before="50" w:line="320"/>
      </w:pPr>
      <w:r>
        <w:rPr>
          <w:rFonts w:ascii="Arial" w:cs="Arial" w:eastAsia="Arial" w:hAnsi="Arial"/>
          <w:b/>
          <w:bCs/>
          <w:color w:val="1C2833"/>
          <w:sz w:val="22"/>
          <w:szCs w:val="22"/>
        </w:rPr>
        <w:t xml:space="preserve">Architecture Diagram — </w:t>
      </w:r>
      <w:r>
        <w:rPr>
          <w:rFonts w:ascii="Arial" w:cs="Arial" w:eastAsia="Arial" w:hAnsi="Arial"/>
          <w:color w:val="1C2833"/>
          <w:sz w:val="22"/>
          <w:szCs w:val="22"/>
        </w:rPr>
        <w:t xml:space="preserve">A three-tier ASCII architecture diagram is now included in Section 3.2, clearly illustrating: (1) the Presentation Tier (React.js SPA with Farmer and Admin portals on port 3000), (2) the Application Tier (Node.js/Express.js with Routes, Controllers, Models, and Middleware layers, plus the external OpenWeatherMap API connection), and (3) the Data Tier (MongoDB Atlas cloud database). Arrows indicate communication channels (HTTP/HTTPS + JWT, and Mongoose ODM).</w:t>
      </w:r>
    </w:p>
    <w:p>
      <w:pPr>
        <w:pStyle w:val="ListParagraph"/>
        <w:numPr>
          <w:ilvl w:val="0"/>
          <w:numId w:val="2"/>
        </w:numPr>
        <w:spacing w:after="50" w:before="50" w:line="320"/>
      </w:pPr>
      <w:r>
        <w:rPr>
          <w:rFonts w:ascii="Arial" w:cs="Arial" w:eastAsia="Arial" w:hAnsi="Arial"/>
          <w:b/>
          <w:bCs/>
          <w:color w:val="1C2833"/>
          <w:sz w:val="22"/>
          <w:szCs w:val="22"/>
        </w:rPr>
        <w:t xml:space="preserve">8-Step Data Flow Walkthrough — </w:t>
      </w:r>
      <w:r>
        <w:rPr>
          <w:rFonts w:ascii="Arial" w:cs="Arial" w:eastAsia="Arial" w:hAnsi="Arial"/>
          <w:color w:val="1C2833"/>
          <w:sz w:val="22"/>
          <w:szCs w:val="22"/>
        </w:rPr>
        <w:t xml:space="preserve">Section 3.3 provides a step-by-step narrative of exactly how a request travels through the system, using the 'Add Crop' feature as a concrete example: from the farmer clicking a button on the React form, through JWT middleware verification on the Express backend, through Mongoose to MongoDB Atlas, and back to the React component as a re-rendered UI update.</w:t>
      </w:r>
    </w:p>
    <w:p>
      <w:pPr>
        <w:pStyle w:val="ListParagraph"/>
        <w:numPr>
          <w:ilvl w:val="0"/>
          <w:numId w:val="2"/>
        </w:numPr>
        <w:spacing w:after="50" w:before="50" w:line="320"/>
      </w:pPr>
      <w:r>
        <w:rPr>
          <w:rFonts w:ascii="Arial" w:cs="Arial" w:eastAsia="Arial" w:hAnsi="Arial"/>
          <w:b/>
          <w:bCs/>
          <w:color w:val="1C2833"/>
          <w:sz w:val="22"/>
          <w:szCs w:val="22"/>
        </w:rPr>
        <w:t xml:space="preserve">Full API Documentation (Section 7) — </w:t>
      </w:r>
      <w:r>
        <w:rPr>
          <w:rFonts w:ascii="Arial" w:cs="Arial" w:eastAsia="Arial" w:hAnsi="Arial"/>
          <w:color w:val="1C2833"/>
          <w:sz w:val="22"/>
          <w:szCs w:val="22"/>
        </w:rPr>
        <w:t xml:space="preserve">28+ API endpoints are now documented across 7 endpoint groups (Authentication, Crops, Weather, Marketplace, Orders, Expert Bookings, Admin), each with method, endpoint path, authentication requirement, request parameters, and response description in structured tables.</w:t>
      </w:r>
    </w:p>
    <w:p>
      <w:pPr>
        <w:pStyle w:val="ListParagraph"/>
        <w:numPr>
          <w:ilvl w:val="0"/>
          <w:numId w:val="2"/>
        </w:numPr>
        <w:spacing w:after="50" w:before="50" w:line="320"/>
      </w:pPr>
      <w:r>
        <w:rPr>
          <w:rFonts w:ascii="Arial" w:cs="Arial" w:eastAsia="Arial" w:hAnsi="Arial"/>
          <w:b/>
          <w:bCs/>
          <w:color w:val="1C2833"/>
          <w:sz w:val="22"/>
          <w:szCs w:val="22"/>
        </w:rPr>
        <w:t xml:space="preserve">Technology Stack Table — </w:t>
      </w:r>
      <w:r>
        <w:rPr>
          <w:rFonts w:ascii="Arial" w:cs="Arial" w:eastAsia="Arial" w:hAnsi="Arial"/>
          <w:color w:val="1C2833"/>
          <w:sz w:val="22"/>
          <w:szCs w:val="22"/>
        </w:rPr>
        <w:t xml:space="preserve">Section 3.4 now lists every technology with version numbers and explicit purpose descriptions: React.js 18.x, Node.js v24 LTS, Express.js 4.x, Mongoose 7.x, bcryptjs 2.x, jsonwebtoken 9.x, MongoDB Atlas 7.x, and OpenWeatherMap API v2.5.</w:t>
      </w:r>
    </w:p>
    <w:p>
      <w:pPr>
        <w:pStyle w:val="ListParagraph"/>
        <w:numPr>
          <w:ilvl w:val="0"/>
          <w:numId w:val="2"/>
        </w:numPr>
        <w:spacing w:after="50" w:before="50" w:line="320"/>
      </w:pPr>
      <w:r>
        <w:rPr>
          <w:rFonts w:ascii="Arial" w:cs="Arial" w:eastAsia="Arial" w:hAnsi="Arial"/>
          <w:b/>
          <w:bCs/>
          <w:color w:val="1C2833"/>
          <w:sz w:val="22"/>
          <w:szCs w:val="22"/>
        </w:rPr>
        <w:t xml:space="preserve">Database Schema Design — </w:t>
      </w:r>
      <w:r>
        <w:rPr>
          <w:rFonts w:ascii="Arial" w:cs="Arial" w:eastAsia="Arial" w:hAnsi="Arial"/>
          <w:color w:val="1C2833"/>
          <w:sz w:val="22"/>
          <w:szCs w:val="22"/>
        </w:rPr>
        <w:t xml:space="preserve">Section 3.5 documents all MongoDB collection schemas (users, crops, products, orders) with field names, types, and relational references (ObjectId refs), providing a clear picture of the data model.</w:t>
      </w:r>
    </w:p>
    <w:p>
      <w:pPr>
        <w:spacing w:after="0" w:before="120"/>
      </w:pPr>
    </w:p>
    <w:p>
      <w:pPr>
        <w:pBdr>
          <w:bottom w:val="single" w:color="1A6B3C" w:sz="6" w:space="4"/>
        </w:pBdr>
        <w:spacing w:after="160" w:before="400"/>
      </w:pPr>
      <w:r>
        <w:rPr>
          <w:rFonts w:ascii="Arial" w:cs="Arial" w:eastAsia="Arial" w:hAnsi="Arial"/>
          <w:b/>
          <w:bCs/>
          <w:color w:val="1A6B3C"/>
          <w:sz w:val="32"/>
          <w:szCs w:val="32"/>
        </w:rPr>
        <w:t xml:space="preserve">3. Technical Depth — Features, Algorithms,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Crop monitoring, fertilizer recommendations, and irrigation planning are described at a very high level. Provide concrete examples of algorithms used. How is weather data integrated for irrigation? What factors inform fertilizer recommendations? What specific analytical techniques are employed for data analytics?</w:t>
            </w:r>
          </w:p>
        </w:tc>
      </w:tr>
    </w:tbl>
    <w:p>
      <w:pPr>
        <w:spacing w:after="0" w:before="80"/>
      </w:pPr>
    </w:p>
    <w:p>
      <w:pPr>
        <w:spacing w:after="100" w:before="280"/>
      </w:pPr>
      <w:r>
        <w:rPr>
          <w:rFonts w:ascii="Arial" w:cs="Arial" w:eastAsia="Arial" w:hAnsi="Arial"/>
          <w:b/>
          <w:bCs/>
          <w:color w:val="0D4A2A"/>
          <w:sz w:val="26"/>
          <w:szCs w:val="26"/>
        </w:rPr>
        <w:t xml:space="preserve">Our Response — Weather Integration and Irrigation Logic</w:t>
      </w:r>
    </w:p>
    <w:p>
      <w:pPr>
        <w:spacing w:after="80" w:before="80" w:line="360"/>
        <w:jc w:val="both"/>
      </w:pPr>
      <w:r>
        <w:rPr>
          <w:rFonts w:ascii="Arial" w:cs="Arial" w:eastAsia="Arial" w:hAnsi="Arial"/>
          <w:color w:val="1C2833"/>
          <w:sz w:val="22"/>
          <w:szCs w:val="22"/>
        </w:rPr>
        <w:t xml:space="preserve">In the revised documentation (Section 9.1), we now provide full technical detail of the weather integration:</w:t>
      </w:r>
    </w:p>
    <w:p>
      <w:pPr>
        <w:pStyle w:val="ListParagraph"/>
        <w:numPr>
          <w:ilvl w:val="0"/>
          <w:numId w:val="2"/>
        </w:numPr>
        <w:spacing w:after="50" w:before="50" w:line="320"/>
      </w:pPr>
      <w:r>
        <w:rPr>
          <w:rFonts w:ascii="Arial" w:cs="Arial" w:eastAsia="Arial" w:hAnsi="Arial"/>
          <w:b/>
          <w:bCs/>
          <w:color w:val="1C2833"/>
          <w:sz w:val="22"/>
          <w:szCs w:val="22"/>
        </w:rPr>
        <w:t xml:space="preserve">Five specific weather parameters are documented in a table: </w:t>
      </w:r>
      <w:r>
        <w:rPr>
          <w:rFonts w:ascii="Arial" w:cs="Arial" w:eastAsia="Arial" w:hAnsi="Arial"/>
          <w:color w:val="1C2833"/>
          <w:sz w:val="22"/>
          <w:szCs w:val="22"/>
        </w:rPr>
        <w:t xml:space="preserve">temperature (°C), humidity (%), rainfall (mm/3hr), wind speed (km/h), and weather description — each with its agricultural significance.</w:t>
      </w:r>
    </w:p>
    <w:p>
      <w:pPr>
        <w:pStyle w:val="ListParagraph"/>
        <w:numPr>
          <w:ilvl w:val="0"/>
          <w:numId w:val="2"/>
        </w:numPr>
        <w:spacing w:after="50" w:before="50" w:line="320"/>
      </w:pPr>
      <w:r>
        <w:rPr>
          <w:rFonts w:ascii="Arial" w:cs="Arial" w:eastAsia="Arial" w:hAnsi="Arial"/>
          <w:b/>
          <w:bCs/>
          <w:color w:val="1C2833"/>
          <w:sz w:val="22"/>
          <w:szCs w:val="22"/>
        </w:rPr>
        <w:t xml:space="preserve">Pest Alert Algorithm (rule-based, with actual code): </w:t>
      </w:r>
      <w:r>
        <w:rPr>
          <w:rFonts w:ascii="Arial" w:cs="Arial" w:eastAsia="Arial" w:hAnsi="Arial"/>
          <w:color w:val="1C2833"/>
          <w:sz w:val="22"/>
          <w:szCs w:val="22"/>
        </w:rPr>
        <w:t xml:space="preserve">The backend pest alert logic uses threshold-based conditional rules drawn from Philippine Rice Research Institute (PhilRice) and Bureau of Plant Industry (BPI) guidelines. For example: humidity &gt; 85% AND temperature &gt; 28°C for rice crops triggers a HIGH severity rice blast (Magnaporthe oryzae) alert. Dry conditions (&lt; 5mm rainfall over 3 days) AND temperature &gt; 30°C for vegetable crops triggers a MEDIUM severity spider mite warning.</w:t>
      </w:r>
    </w:p>
    <w:p>
      <w:pPr>
        <w:spacing w:after="80" w:before="80" w:line="360"/>
        <w:jc w:val="both"/>
      </w:pPr>
      <w:r>
        <w:rPr>
          <w:rFonts w:ascii="Arial" w:cs="Arial" w:eastAsia="Arial" w:hAnsi="Arial"/>
          <w:color w:val="1C2833"/>
          <w:sz w:val="22"/>
          <w:szCs w:val="22"/>
        </w:rPr>
        <w:t xml:space="preserve">Regarding irrigation planning: the platform's current version uses weather-derived inference rather than a formal irrigation formula. If rainfall in the last 3 hours is 0mm and temperature exceeds a crop-specific threshold, a 'Manual Irrigation Recommended' advisory is displayed on the farmer's dashboard. In the future enhancements roadmap (Section 13), we have documented the plan to implement the FAO Penman-Monteith method for reference evapotranspiration (ETo) calculation as the basis for a data-driven irrigation recommendation engine.</w:t>
      </w:r>
    </w:p>
    <w:p>
      <w:pPr>
        <w:spacing w:after="80" w:before="80" w:line="360"/>
        <w:jc w:val="both"/>
      </w:pPr>
      <w:r>
        <w:rPr>
          <w:rFonts w:ascii="Arial" w:cs="Arial" w:eastAsia="Arial" w:hAnsi="Arial"/>
          <w:color w:val="1C2833"/>
          <w:sz w:val="22"/>
          <w:szCs w:val="22"/>
        </w:rPr>
        <w:t xml:space="preserve">Regarding fertilizer recommendations: the current platform version does not include a fertilizer recommendation engine as a core feature — this was incorrectly listed in the original high-level feature description. The crop management module tracks crop variety, growth stage, and planting date, which lay the data foundation for future fertilizer recommendations. We have corrected the feature description in the revised documentation to accurately reflect what is implemented, and moved fertilizer recommendation to the Future Enhancements section as a planned ML-driven feature.</w:t>
      </w:r>
    </w:p>
    <w:p>
      <w:pPr>
        <w:spacing w:after="100" w:before="280"/>
      </w:pPr>
      <w:r>
        <w:rPr>
          <w:rFonts w:ascii="Arial" w:cs="Arial" w:eastAsia="Arial" w:hAnsi="Arial"/>
          <w:b/>
          <w:bCs/>
          <w:color w:val="0D4A2A"/>
          <w:sz w:val="26"/>
          <w:szCs w:val="26"/>
        </w:rPr>
        <w:t xml:space="preserve">Our Response — Data Analytics</w:t>
      </w:r>
    </w:p>
    <w:p>
      <w:pPr>
        <w:spacing w:after="80" w:before="80" w:line="360"/>
        <w:jc w:val="both"/>
      </w:pPr>
      <w:r>
        <w:rPr>
          <w:rFonts w:ascii="Arial" w:cs="Arial" w:eastAsia="Arial" w:hAnsi="Arial"/>
          <w:color w:val="1C2833"/>
          <w:sz w:val="22"/>
          <w:szCs w:val="22"/>
        </w:rPr>
        <w:t xml:space="preserve">Section 9.4 of the revised documentation now explains the specific analytical techniques applied:</w:t>
      </w:r>
    </w:p>
    <w:p>
      <w:pPr>
        <w:pStyle w:val="ListParagraph"/>
        <w:numPr>
          <w:ilvl w:val="0"/>
          <w:numId w:val="2"/>
        </w:numPr>
        <w:spacing w:after="50" w:before="50" w:line="320"/>
      </w:pPr>
      <w:r>
        <w:rPr>
          <w:rFonts w:ascii="Arial" w:cs="Arial" w:eastAsia="Arial" w:hAnsi="Arial"/>
          <w:b/>
          <w:bCs/>
          <w:color w:val="1C2833"/>
          <w:sz w:val="22"/>
          <w:szCs w:val="22"/>
        </w:rPr>
        <w:t xml:space="preserve">MongoDB Aggregation Pipelines: </w:t>
      </w:r>
      <w:r>
        <w:rPr>
          <w:rFonts w:ascii="Arial" w:cs="Arial" w:eastAsia="Arial" w:hAnsi="Arial"/>
          <w:color w:val="1C2833"/>
          <w:sz w:val="22"/>
          <w:szCs w:val="22"/>
        </w:rPr>
        <w:t xml:space="preserve">The admin analytics dashboard uses $group and $sum aggregation operators to compute: user counts by role and status, new registrations per week, order volume trends, and marketplace listing counts. Actual pipeline code is shown in the documentation.</w:t>
      </w:r>
    </w:p>
    <w:p>
      <w:pPr>
        <w:pStyle w:val="ListParagraph"/>
        <w:numPr>
          <w:ilvl w:val="0"/>
          <w:numId w:val="2"/>
        </w:numPr>
        <w:spacing w:after="50" w:before="50" w:line="320"/>
      </w:pPr>
      <w:r>
        <w:rPr>
          <w:rFonts w:ascii="Arial" w:cs="Arial" w:eastAsia="Arial" w:hAnsi="Arial"/>
          <w:b/>
          <w:bCs/>
          <w:color w:val="1C2833"/>
          <w:sz w:val="22"/>
          <w:szCs w:val="22"/>
        </w:rPr>
        <w:t xml:space="preserve">Harvest History Analytics (Section 9.2): </w:t>
      </w:r>
      <w:r>
        <w:rPr>
          <w:rFonts w:ascii="Arial" w:cs="Arial" w:eastAsia="Arial" w:hAnsi="Arial"/>
          <w:color w:val="1C2833"/>
          <w:sz w:val="22"/>
          <w:szCs w:val="22"/>
        </w:rPr>
        <w:t xml:space="preserve">The farmer's harvest history module aggregates completed records to compute: total yield per crop type per season, average yield per hectare (for productivity trend identification), best-performing varieties by yield, and expected vs. actual harvest date accuracy.</w:t>
      </w:r>
    </w:p>
    <w:p>
      <w:pPr>
        <w:pStyle w:val="ListParagraph"/>
        <w:numPr>
          <w:ilvl w:val="0"/>
          <w:numId w:val="2"/>
        </w:numPr>
        <w:spacing w:after="50" w:before="50" w:line="320"/>
      </w:pPr>
      <w:r>
        <w:rPr>
          <w:rFonts w:ascii="Arial" w:cs="Arial" w:eastAsia="Arial" w:hAnsi="Arial"/>
          <w:b/>
          <w:bCs/>
          <w:color w:val="1C2833"/>
          <w:sz w:val="22"/>
          <w:szCs w:val="22"/>
        </w:rPr>
        <w:t xml:space="preserve">Presentation to Farmers: </w:t>
      </w:r>
      <w:r>
        <w:rPr>
          <w:rFonts w:ascii="Arial" w:cs="Arial" w:eastAsia="Arial" w:hAnsi="Arial"/>
          <w:color w:val="1C2833"/>
          <w:sz w:val="22"/>
          <w:szCs w:val="22"/>
        </w:rPr>
        <w:t xml:space="preserve">These analytics are presented as summary metric cards (total yield, best variety) and bar charts on the farmer's dashboard, deliberately designed without requiring formal statistical literacy — the goal is actionable insight, not raw data.</w:t>
      </w:r>
    </w:p>
    <w:p>
      <w:pPr>
        <w:pStyle w:val="ListParagraph"/>
        <w:numPr>
          <w:ilvl w:val="0"/>
          <w:numId w:val="2"/>
        </w:numPr>
        <w:spacing w:after="50" w:before="50" w:line="320"/>
      </w:pPr>
      <w:r>
        <w:rPr>
          <w:rFonts w:ascii="Arial" w:cs="Arial" w:eastAsia="Arial" w:hAnsi="Arial"/>
          <w:b/>
          <w:bCs/>
          <w:color w:val="1C2833"/>
          <w:sz w:val="22"/>
          <w:szCs w:val="22"/>
        </w:rPr>
        <w:t xml:space="preserve">Limitations Acknowledged: </w:t>
      </w:r>
      <w:r>
        <w:rPr>
          <w:rFonts w:ascii="Arial" w:cs="Arial" w:eastAsia="Arial" w:hAnsi="Arial"/>
          <w:color w:val="1C2833"/>
          <w:sz w:val="22"/>
          <w:szCs w:val="22"/>
        </w:rPr>
        <w:t xml:space="preserve">The revised documentation explicitly states that the current analytics are descriptive (aggregation-based) rather than predictive. Regression analysis and clustering (e.g., k-means for farm productivity segmentation) are identified as future enhancements requiring a larger historical dataset and Python/scikit-learn integration.</w:t>
      </w:r>
    </w:p>
    <w:p>
      <w:pPr>
        <w:spacing w:after="0" w:before="120"/>
      </w:pPr>
    </w:p>
    <w:p>
      <w:pPr>
        <w:pBdr>
          <w:bottom w:val="single" w:color="1A6B3C" w:sz="6" w:space="4"/>
        </w:pBdr>
        <w:spacing w:after="160" w:before="400"/>
      </w:pPr>
      <w:r>
        <w:rPr>
          <w:rFonts w:ascii="Arial" w:cs="Arial" w:eastAsia="Arial" w:hAnsi="Arial"/>
          <w:b/>
          <w:bCs/>
          <w:color w:val="1A6B3C"/>
          <w:sz w:val="32"/>
          <w:szCs w:val="32"/>
        </w:rPr>
        <w:t xml:space="preserve">4. Security — Authentication, Authorization, and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The documentation should explicitly detail security measures for authentication, authorization, and data validation. How is sensitive data like farmer location handled? Include a section on potential vulnerabilities and mitigation strategies.</w:t>
            </w:r>
          </w:p>
        </w:tc>
      </w:tr>
    </w:tbl>
    <w:p>
      <w:pPr>
        <w:spacing w:after="0" w:before="80"/>
      </w:pPr>
    </w:p>
    <w:p>
      <w:pPr>
        <w:spacing w:after="100" w:before="280"/>
      </w:pPr>
      <w:r>
        <w:rPr>
          <w:rFonts w:ascii="Arial" w:cs="Arial" w:eastAsia="Arial" w:hAnsi="Arial"/>
          <w:b/>
          <w:bCs/>
          <w:color w:val="0D4A2A"/>
          <w:sz w:val="26"/>
          <w:szCs w:val="26"/>
        </w:rPr>
        <w:t xml:space="preserve">Our Response</w:t>
      </w:r>
    </w:p>
    <w:p>
      <w:pPr>
        <w:spacing w:after="80" w:before="80" w:line="360"/>
        <w:jc w:val="both"/>
      </w:pPr>
      <w:r>
        <w:rPr>
          <w:rFonts w:ascii="Arial" w:cs="Arial" w:eastAsia="Arial" w:hAnsi="Arial"/>
          <w:color w:val="1C2833"/>
          <w:sz w:val="22"/>
          <w:szCs w:val="22"/>
        </w:rPr>
        <w:t xml:space="preserve">Section 8 of the revised documentation is now entirely dedicated to Authentication and Security, covering seven distinct areas:</w:t>
      </w:r>
    </w:p>
    <w:p>
      <w:pPr>
        <w:pStyle w:val="ListParagraph"/>
        <w:numPr>
          <w:ilvl w:val="0"/>
          <w:numId w:val="2"/>
        </w:numPr>
        <w:spacing w:after="50" w:before="50" w:line="320"/>
      </w:pPr>
      <w:r>
        <w:rPr>
          <w:rFonts w:ascii="Arial" w:cs="Arial" w:eastAsia="Arial" w:hAnsi="Arial"/>
          <w:b/>
          <w:bCs/>
          <w:color w:val="1C2833"/>
          <w:sz w:val="22"/>
          <w:szCs w:val="22"/>
        </w:rPr>
        <w:t xml:space="preserve">Authentication Architecture (Section 8.1–8.2): </w:t>
      </w:r>
      <w:r>
        <w:rPr>
          <w:rFonts w:ascii="Arial" w:cs="Arial" w:eastAsia="Arial" w:hAnsi="Arial"/>
          <w:color w:val="1C2833"/>
          <w:sz w:val="22"/>
          <w:szCs w:val="22"/>
        </w:rPr>
        <w:t xml:space="preserve">A 7-step JWT authentication flow is documented, including: bcryptjs.compare() for constant-time password verification (preventing timing attacks), jwt.sign() with a 7-day expiry, and client-side token storage with Axios request interceptor for automatic Authorization header attachment.</w:t>
      </w:r>
    </w:p>
    <w:p>
      <w:pPr>
        <w:pStyle w:val="ListParagraph"/>
        <w:numPr>
          <w:ilvl w:val="0"/>
          <w:numId w:val="2"/>
        </w:numPr>
        <w:spacing w:after="50" w:before="50" w:line="320"/>
      </w:pPr>
      <w:r>
        <w:rPr>
          <w:rFonts w:ascii="Arial" w:cs="Arial" w:eastAsia="Arial" w:hAnsi="Arial"/>
          <w:b/>
          <w:bCs/>
          <w:color w:val="1C2833"/>
          <w:sz w:val="22"/>
          <w:szCs w:val="22"/>
        </w:rPr>
        <w:t xml:space="preserve">Role-Based Access Control — RBAC (Section 8.3): </w:t>
      </w:r>
      <w:r>
        <w:rPr>
          <w:rFonts w:ascii="Arial" w:cs="Arial" w:eastAsia="Arial" w:hAnsi="Arial"/>
          <w:color w:val="1C2833"/>
          <w:sz w:val="22"/>
          <w:szCs w:val="22"/>
        </w:rPr>
        <w:t xml:space="preserve">Two roles (farmer, admin) are enforced via a requireRole() Express middleware applied at the route level. The actual middleware code is shown in the documentation. Farmers cannot access any /api/admin/* endpoints; the attempt returns HTTP 403 Forbidden.</w:t>
      </w:r>
    </w:p>
    <w:p>
      <w:pPr>
        <w:pStyle w:val="ListParagraph"/>
        <w:numPr>
          <w:ilvl w:val="0"/>
          <w:numId w:val="2"/>
        </w:numPr>
        <w:spacing w:after="50" w:before="50" w:line="320"/>
      </w:pPr>
      <w:r>
        <w:rPr>
          <w:rFonts w:ascii="Arial" w:cs="Arial" w:eastAsia="Arial" w:hAnsi="Arial"/>
          <w:b/>
          <w:bCs/>
          <w:color w:val="1C2833"/>
          <w:sz w:val="22"/>
          <w:szCs w:val="22"/>
        </w:rPr>
        <w:t xml:space="preserve">Mid-Session Ban Detection (Section 8.4): </w:t>
      </w:r>
      <w:r>
        <w:rPr>
          <w:rFonts w:ascii="Arial" w:cs="Arial" w:eastAsia="Arial" w:hAnsi="Arial"/>
          <w:color w:val="1C2833"/>
          <w:sz w:val="22"/>
          <w:szCs w:val="22"/>
        </w:rPr>
        <w:t xml:space="preserve">A banCheck middleware queries MongoDB on every authenticated request to check if the user's status field has been set to 'banned' since their token was issued. This closes the window where a banned user could continue operating until their JWT expires. Full middleware code is documented.</w:t>
      </w:r>
    </w:p>
    <w:p>
      <w:pPr>
        <w:pStyle w:val="ListParagraph"/>
        <w:numPr>
          <w:ilvl w:val="0"/>
          <w:numId w:val="2"/>
        </w:numPr>
        <w:spacing w:after="50" w:before="50" w:line="320"/>
      </w:pPr>
      <w:r>
        <w:rPr>
          <w:rFonts w:ascii="Arial" w:cs="Arial" w:eastAsia="Arial" w:hAnsi="Arial"/>
          <w:b/>
          <w:bCs/>
          <w:color w:val="1C2833"/>
          <w:sz w:val="22"/>
          <w:szCs w:val="22"/>
        </w:rPr>
        <w:t xml:space="preserve">Sensitive Data Handling: </w:t>
      </w:r>
      <w:r>
        <w:rPr>
          <w:rFonts w:ascii="Arial" w:cs="Arial" w:eastAsia="Arial" w:hAnsi="Arial"/>
          <w:color w:val="1C2833"/>
          <w:sz w:val="22"/>
          <w:szCs w:val="22"/>
        </w:rPr>
        <w:t xml:space="preserve">Farmer location data (GPS coordinates) is stored in the farmProfile subdocument within the users collection and is never returned in public-facing API responses. It is only accessible to the authenticated farmer and platform administrators. Financial transaction data is not processed on-platform in the current version (payment is handled offline); order records store only transaction metadata (product, quantity, total price, status).</w:t>
      </w:r>
    </w:p>
    <w:p>
      <w:pPr>
        <w:pStyle w:val="ListParagraph"/>
        <w:numPr>
          <w:ilvl w:val="0"/>
          <w:numId w:val="2"/>
        </w:numPr>
        <w:spacing w:after="50" w:before="50" w:line="320"/>
      </w:pPr>
      <w:r>
        <w:rPr>
          <w:rFonts w:ascii="Arial" w:cs="Arial" w:eastAsia="Arial" w:hAnsi="Arial"/>
          <w:b/>
          <w:bCs/>
          <w:color w:val="1C2833"/>
          <w:sz w:val="22"/>
          <w:szCs w:val="22"/>
        </w:rPr>
        <w:t xml:space="preserve">Security Measures Table (Section 8.5): </w:t>
      </w:r>
      <w:r>
        <w:rPr>
          <w:rFonts w:ascii="Arial" w:cs="Arial" w:eastAsia="Arial" w:hAnsi="Arial"/>
          <w:color w:val="1C2833"/>
          <w:sz w:val="22"/>
          <w:szCs w:val="22"/>
        </w:rPr>
        <w:t xml:space="preserve">A dedicated table covers: password hashing (bcryptjs, salt factor 10), JWT secret management (env variable only, gitignored), API key protection (server-side proxy), input validation (400 on invalid fields), environment variable security, HTTPS configuration for production, and MongoDB Atlas least-privilege access control.</w:t>
      </w:r>
    </w:p>
    <w:p>
      <w:pPr>
        <w:pStyle w:val="ListParagraph"/>
        <w:numPr>
          <w:ilvl w:val="0"/>
          <w:numId w:val="2"/>
        </w:numPr>
        <w:spacing w:after="50" w:before="50" w:line="320"/>
      </w:pPr>
      <w:r>
        <w:rPr>
          <w:rFonts w:ascii="Arial" w:cs="Arial" w:eastAsia="Arial" w:hAnsi="Arial"/>
          <w:b/>
          <w:bCs/>
          <w:color w:val="1C2833"/>
          <w:sz w:val="22"/>
          <w:szCs w:val="22"/>
        </w:rPr>
        <w:t xml:space="preserve">Vulnerabilities and Mitigation Table (Section 8.6): </w:t>
      </w:r>
      <w:r>
        <w:rPr>
          <w:rFonts w:ascii="Arial" w:cs="Arial" w:eastAsia="Arial" w:hAnsi="Arial"/>
          <w:color w:val="1C2833"/>
          <w:sz w:val="22"/>
          <w:szCs w:val="22"/>
        </w:rPr>
        <w:t xml:space="preserve">Four known vulnerabilities are honestly documented with their current status and planned mitigations: JWT in localStorage (XSS risk) → migrate to httpOnly cookies in production; no rate limiting on auth endpoints → add express-rate-limit; no CSRF protection → low risk with Bearer token auth; MongoDB NoSQL injection → mitigated by Mongoose schema type enforcement.</w:t>
      </w:r>
    </w:p>
    <w:p>
      <w:pPr>
        <w:spacing w:after="0" w:before="120"/>
      </w:pPr>
    </w:p>
    <w:p>
      <w:pPr>
        <w:pBdr>
          <w:bottom w:val="single" w:color="1A6B3C" w:sz="6" w:space="4"/>
        </w:pBdr>
        <w:spacing w:after="160" w:before="400"/>
      </w:pPr>
      <w:r>
        <w:rPr>
          <w:rFonts w:ascii="Arial" w:cs="Arial" w:eastAsia="Arial" w:hAnsi="Arial"/>
          <w:b/>
          <w:bCs/>
          <w:color w:val="1A6B3C"/>
          <w:sz w:val="32"/>
          <w:szCs w:val="32"/>
        </w:rPr>
        <w:t xml:space="preserve">5. Scalability — Design for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The documentation doesn't explain how the application is designed to handle increasing data volumes and user traffic. Discuss strategies like database sharding, load balancing, or caching.</w:t>
            </w:r>
          </w:p>
        </w:tc>
      </w:tr>
    </w:tbl>
    <w:p>
      <w:pPr>
        <w:spacing w:after="0" w:before="80"/>
      </w:pPr>
    </w:p>
    <w:p>
      <w:pPr>
        <w:spacing w:after="100" w:before="280"/>
      </w:pPr>
      <w:r>
        <w:rPr>
          <w:rFonts w:ascii="Arial" w:cs="Arial" w:eastAsia="Arial" w:hAnsi="Arial"/>
          <w:b/>
          <w:bCs/>
          <w:color w:val="0D4A2A"/>
          <w:sz w:val="26"/>
          <w:szCs w:val="26"/>
        </w:rPr>
        <w:t xml:space="preserve">Our Response</w:t>
      </w:r>
    </w:p>
    <w:p>
      <w:pPr>
        <w:spacing w:after="80" w:before="80" w:line="360"/>
        <w:jc w:val="both"/>
      </w:pPr>
      <w:r>
        <w:rPr>
          <w:rFonts w:ascii="Arial" w:cs="Arial" w:eastAsia="Arial" w:hAnsi="Arial"/>
          <w:color w:val="1C2833"/>
          <w:sz w:val="22"/>
          <w:szCs w:val="22"/>
        </w:rPr>
        <w:t xml:space="preserve">Section 13.3 of the revised documentation introduces a dedicated Scalability Roadmap with four concrete strategies:</w:t>
      </w:r>
    </w:p>
    <w:p>
      <w:pPr>
        <w:pStyle w:val="ListParagraph"/>
        <w:numPr>
          <w:ilvl w:val="0"/>
          <w:numId w:val="2"/>
        </w:numPr>
        <w:spacing w:after="50" w:before="50" w:line="320"/>
      </w:pPr>
      <w:r>
        <w:rPr>
          <w:rFonts w:ascii="Arial" w:cs="Arial" w:eastAsia="Arial" w:hAnsi="Arial"/>
          <w:b/>
          <w:bCs/>
          <w:color w:val="1C2833"/>
          <w:sz w:val="22"/>
          <w:szCs w:val="22"/>
        </w:rPr>
        <w:t xml:space="preserve">Horizontal Scaling: </w:t>
      </w:r>
      <w:r>
        <w:rPr>
          <w:rFonts w:ascii="Arial" w:cs="Arial" w:eastAsia="Arial" w:hAnsi="Arial"/>
          <w:color w:val="1C2833"/>
          <w:sz w:val="22"/>
          <w:szCs w:val="22"/>
        </w:rPr>
        <w:t xml:space="preserve">The stateless nature of JWT authentication (no server-side session storage) means the Express backend is inherently horizontally scalable. Multiple Node.js instances can run behind an NGINX or AWS Elastic Load Balancer without session synchronization concerns.</w:t>
      </w:r>
    </w:p>
    <w:p>
      <w:pPr>
        <w:pStyle w:val="ListParagraph"/>
        <w:numPr>
          <w:ilvl w:val="0"/>
          <w:numId w:val="2"/>
        </w:numPr>
        <w:spacing w:after="50" w:before="50" w:line="320"/>
      </w:pPr>
      <w:r>
        <w:rPr>
          <w:rFonts w:ascii="Arial" w:cs="Arial" w:eastAsia="Arial" w:hAnsi="Arial"/>
          <w:b/>
          <w:bCs/>
          <w:color w:val="1C2833"/>
          <w:sz w:val="22"/>
          <w:szCs w:val="22"/>
        </w:rPr>
        <w:t xml:space="preserve">Database Sharding: </w:t>
      </w:r>
      <w:r>
        <w:rPr>
          <w:rFonts w:ascii="Arial" w:cs="Arial" w:eastAsia="Arial" w:hAnsi="Arial"/>
          <w:color w:val="1C2833"/>
          <w:sz w:val="22"/>
          <w:szCs w:val="22"/>
        </w:rPr>
        <w:t xml:space="preserve">MongoDB Atlas supports automatic sharding for high-volume collections. The crops and orders collections are identified as natural sharding candidates, using farmerId as the shard key to ensure locality of access (a farmer's queries always hit the same shard).</w:t>
      </w:r>
    </w:p>
    <w:p>
      <w:pPr>
        <w:pStyle w:val="ListParagraph"/>
        <w:numPr>
          <w:ilvl w:val="0"/>
          <w:numId w:val="2"/>
        </w:numPr>
        <w:spacing w:after="50" w:before="50" w:line="320"/>
      </w:pPr>
      <w:r>
        <w:rPr>
          <w:rFonts w:ascii="Arial" w:cs="Arial" w:eastAsia="Arial" w:hAnsi="Arial"/>
          <w:b/>
          <w:bCs/>
          <w:color w:val="1C2833"/>
          <w:sz w:val="22"/>
          <w:szCs w:val="22"/>
        </w:rPr>
        <w:t xml:space="preserve">Redis Caching: </w:t>
      </w:r>
      <w:r>
        <w:rPr>
          <w:rFonts w:ascii="Arial" w:cs="Arial" w:eastAsia="Arial" w:hAnsi="Arial"/>
          <w:color w:val="1C2833"/>
          <w:sz w:val="22"/>
          <w:szCs w:val="22"/>
        </w:rPr>
        <w:t xml:space="preserve">Weather data is a prime caching candidate — the same coordinates (lat/lon) are queried repeatedly by the same farmer. A Redis cache layer with a 30-minute TTL per coordinate pair would significantly reduce both OpenWeatherMap API quota usage and backend response times under load.</w:t>
      </w:r>
    </w:p>
    <w:p>
      <w:pPr>
        <w:pStyle w:val="ListParagraph"/>
        <w:numPr>
          <w:ilvl w:val="0"/>
          <w:numId w:val="2"/>
        </w:numPr>
        <w:spacing w:after="50" w:before="50" w:line="320"/>
      </w:pPr>
      <w:r>
        <w:rPr>
          <w:rFonts w:ascii="Arial" w:cs="Arial" w:eastAsia="Arial" w:hAnsi="Arial"/>
          <w:b/>
          <w:bCs/>
          <w:color w:val="1C2833"/>
          <w:sz w:val="22"/>
          <w:szCs w:val="22"/>
        </w:rPr>
        <w:t xml:space="preserve">CDN for Static Assets: </w:t>
      </w:r>
      <w:r>
        <w:rPr>
          <w:rFonts w:ascii="Arial" w:cs="Arial" w:eastAsia="Arial" w:hAnsi="Arial"/>
          <w:color w:val="1C2833"/>
          <w:sz w:val="22"/>
          <w:szCs w:val="22"/>
        </w:rPr>
        <w:t xml:space="preserve">The React build output (JS/CSS bundles, images) can be hosted on a CDN (Cloudflare Pages or AWS CloudFront) to reduce latency for users across the Philippine archipelago, where geographic distance from a single-region server can cause noticeable load times.</w:t>
      </w:r>
    </w:p>
    <w:p>
      <w:pPr>
        <w:pStyle w:val="ListParagraph"/>
        <w:numPr>
          <w:ilvl w:val="0"/>
          <w:numId w:val="2"/>
        </w:numPr>
        <w:spacing w:after="50" w:before="50" w:line="320"/>
      </w:pPr>
      <w:r>
        <w:rPr>
          <w:rFonts w:ascii="Arial" w:cs="Arial" w:eastAsia="Arial" w:hAnsi="Arial"/>
          <w:b/>
          <w:bCs/>
          <w:color w:val="1C2833"/>
          <w:sz w:val="22"/>
          <w:szCs w:val="22"/>
        </w:rPr>
        <w:t xml:space="preserve">Microservices Migration Path: </w:t>
      </w:r>
      <w:r>
        <w:rPr>
          <w:rFonts w:ascii="Arial" w:cs="Arial" w:eastAsia="Arial" w:hAnsi="Arial"/>
          <w:color w:val="1C2833"/>
          <w:sz w:val="22"/>
          <w:szCs w:val="22"/>
        </w:rPr>
        <w:t xml:space="preserve">Long-term, high-traffic modules (marketplace, weather, analytics) are identified as candidates for extraction into independent microservices with dedicated databases, decoupled via a message queue (RabbitMQ or Kafka).</w:t>
      </w:r>
    </w:p>
    <w:p>
      <w:pPr>
        <w:spacing w:after="80" w:before="80" w:line="360"/>
        <w:jc w:val="both"/>
      </w:pPr>
      <w:r>
        <w:rPr>
          <w:rFonts w:ascii="Arial" w:cs="Arial" w:eastAsia="Arial" w:hAnsi="Arial"/>
          <w:color w:val="1C2833"/>
          <w:sz w:val="22"/>
          <w:szCs w:val="22"/>
        </w:rPr>
        <w:t xml:space="preserve">We acknowledge that these strategies represent a production roadmap rather than implemented features in the current capstone version. The current single-instance deployment is appropriate for the development and demonstration scope of the project, and the documentation now clearly distinguishes between current architecture and planned scalability strategies.</w:t>
      </w:r>
    </w:p>
    <w:p>
      <w:pPr>
        <w:spacing w:after="0" w:before="120"/>
      </w:pPr>
    </w:p>
    <w:p>
      <w:pPr>
        <w:pBdr>
          <w:bottom w:val="single" w:color="1A6B3C" w:sz="6" w:space="4"/>
        </w:pBdr>
        <w:spacing w:after="160" w:before="400"/>
      </w:pPr>
      <w:r>
        <w:rPr>
          <w:rFonts w:ascii="Arial" w:cs="Arial" w:eastAsia="Arial" w:hAnsi="Arial"/>
          <w:b/>
          <w:bCs/>
          <w:color w:val="1A6B3C"/>
          <w:sz w:val="32"/>
          <w:szCs w:val="32"/>
        </w:rPr>
        <w:t xml:space="preserve">6. Development Process — Timeline, Testing,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Include a timeline of key milestones, a description of testing methodologies (unit testing, integration testing, etc.), and any challenges encountered and how they were addressed.</w:t>
            </w:r>
          </w:p>
        </w:tc>
      </w:tr>
    </w:tbl>
    <w:p>
      <w:pPr>
        <w:spacing w:after="0" w:before="80"/>
      </w:pPr>
    </w:p>
    <w:p>
      <w:pPr>
        <w:spacing w:after="100" w:before="280"/>
      </w:pPr>
      <w:r>
        <w:rPr>
          <w:rFonts w:ascii="Arial" w:cs="Arial" w:eastAsia="Arial" w:hAnsi="Arial"/>
          <w:b/>
          <w:bCs/>
          <w:color w:val="0D4A2A"/>
          <w:sz w:val="26"/>
          <w:szCs w:val="26"/>
        </w:rPr>
        <w:t xml:space="preserve">Our Response —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360"/>
        <w:gridCol w:w="1200"/>
      </w:tblGrid>
      <w:tr>
        <w:tc>
          <w:tcPr>
            <w:tcW w:type="dxa" w:w="2800"/>
            <w:tcBorders>
              <w:top w:val="single" w:color="CCCCCC" w:sz="1"/>
              <w:left w:val="single" w:color="CCCCCC" w:sz="1"/>
              <w:bottom w:val="single" w:color="CCCCCC" w:sz="1"/>
              <w:right w:val="single" w:color="CCCCCC" w:sz="1"/>
            </w:tcBorders>
            <w:shd w:fill="1A6B3C" w:val="clear"/>
            <w:tcMar>
              <w:top w:type="dxa" w:w="90"/>
              <w:left w:type="dxa" w:w="140"/>
              <w:bottom w:type="dxa" w:w="90"/>
              <w:right w:type="dxa" w:w="140"/>
            </w:tcMar>
          </w:tcPr>
          <w:p>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A6B3C" w:val="clear"/>
            <w:tcMar>
              <w:top w:type="dxa" w:w="90"/>
              <w:left w:type="dxa" w:w="140"/>
              <w:bottom w:type="dxa" w:w="90"/>
              <w:right w:type="dxa" w:w="14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6B3C" w:val="clear"/>
            <w:tcMar>
              <w:top w:type="dxa" w:w="90"/>
              <w:left w:type="dxa" w:w="140"/>
              <w:bottom w:type="dxa" w:w="90"/>
              <w:right w:type="dxa" w:w="14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Project Scoping &amp; Requirements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Identified target users (Filipino smallholder farmers), defined core features, and established the MERN stack as the technology choice.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Database Design</w:t>
            </w:r>
          </w:p>
        </w:tc>
        <w:tc>
          <w:tcPr>
            <w:tcW w:type="dxa" w:w="536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Designed MongoDB collections and Mongoose schemas for all domain entities (users, crops, products, orders, bookings, forums).</w:t>
            </w:r>
          </w:p>
        </w:tc>
        <w:tc>
          <w:tcPr>
            <w:tcW w:type="dxa" w:w="12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Backend API Development</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Built Express.js REST API with 28+ endpoints, JWT authentication middleware, RBAC, and ban detection.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Frontend Development</w:t>
            </w:r>
          </w:p>
        </w:tc>
        <w:tc>
          <w:tcPr>
            <w:tcW w:type="dxa" w:w="536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Built React.js SPA with 13 farmer modules and 9 admin modules, protected routes, and role-based navigation.</w:t>
            </w:r>
          </w:p>
        </w:tc>
        <w:tc>
          <w:tcPr>
            <w:tcW w:type="dxa" w:w="12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Third-Party Integration</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Integrated OpenWeatherMap API for real-time weather data; implemented rule-based pest alert engine.</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Authentication System</w:t>
            </w:r>
          </w:p>
        </w:tc>
        <w:tc>
          <w:tcPr>
            <w:tcW w:type="dxa" w:w="536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Implemented full JWT auth flow including registration, login, account approval, role-based access, and mid-session ban.</w:t>
            </w:r>
          </w:p>
        </w:tc>
        <w:tc>
          <w:tcPr>
            <w:tcW w:type="dxa" w:w="12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Testing and Debugging</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Manual E2E testing of all user flows; API testing via Thunder Client; MongoDB Atlas connectivity debugging across network environments.</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Completed</w:t>
            </w:r>
          </w:p>
        </w:tc>
      </w:tr>
      <w:tr>
        <w:tc>
          <w:tcPr>
            <w:tcW w:type="dxa" w:w="28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Documentation (v1)</w:t>
            </w:r>
          </w:p>
        </w:tc>
        <w:tc>
          <w:tcPr>
            <w:tcW w:type="dxa" w:w="536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Initial project documentation submitted.</w:t>
            </w:r>
          </w:p>
        </w:tc>
        <w:tc>
          <w:tcPr>
            <w:tcW w:type="dxa" w:w="1200"/>
            <w:tcBorders>
              <w:top w:val="single" w:color="CCCCCC" w:sz="1"/>
              <w:left w:val="single" w:color="CCCCCC" w:sz="1"/>
              <w:bottom w:val="single" w:color="CCCCCC" w:sz="1"/>
              <w:right w:val="single" w:color="CCCCCC" w:sz="1"/>
            </w:tcBorders>
            <w:shd w:fill="F4FBF7" w:val="clear"/>
            <w:tcMar>
              <w:top w:type="dxa" w:w="90"/>
              <w:left w:type="dxa" w:w="140"/>
              <w:bottom w:type="dxa" w:w="90"/>
              <w:right w:type="dxa" w:w="140"/>
            </w:tcMar>
          </w:tcPr>
          <w:p>
            <w:r>
              <w:rPr>
                <w:rFonts w:ascii="Arial" w:cs="Arial" w:eastAsia="Arial" w:hAnsi="Arial"/>
                <w:color w:val="1C2833"/>
                <w:sz w:val="20"/>
                <w:szCs w:val="20"/>
              </w:rPr>
              <w:t xml:space="preserve">Revised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Documentation (v2)</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Full revision addressing professor feedback — current submission.</w:t>
            </w:r>
          </w:p>
        </w:tc>
        <w:tc>
          <w:tcPr>
            <w:tcW w:type="dxa" w:w="1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C2833"/>
                <w:sz w:val="20"/>
                <w:szCs w:val="20"/>
              </w:rPr>
              <w:t xml:space="preserve">Submitted</w:t>
            </w:r>
          </w:p>
        </w:tc>
      </w:tr>
    </w:tbl>
    <w:p>
      <w:pPr>
        <w:spacing w:after="0" w:before="160"/>
      </w:pPr>
    </w:p>
    <w:p>
      <w:pPr>
        <w:spacing w:after="100" w:before="280"/>
      </w:pPr>
      <w:r>
        <w:rPr>
          <w:rFonts w:ascii="Arial" w:cs="Arial" w:eastAsia="Arial" w:hAnsi="Arial"/>
          <w:b/>
          <w:bCs/>
          <w:color w:val="0D4A2A"/>
          <w:sz w:val="26"/>
          <w:szCs w:val="26"/>
        </w:rPr>
        <w:t xml:space="preserve">Our Response — Testing Methodology</w:t>
      </w:r>
    </w:p>
    <w:p>
      <w:pPr>
        <w:spacing w:after="80" w:before="80" w:line="360"/>
        <w:jc w:val="both"/>
      </w:pPr>
      <w:r>
        <w:rPr>
          <w:rFonts w:ascii="Arial" w:cs="Arial" w:eastAsia="Arial" w:hAnsi="Arial"/>
          <w:color w:val="1C2833"/>
          <w:sz w:val="22"/>
          <w:szCs w:val="22"/>
        </w:rPr>
        <w:t xml:space="preserve">Section 10 of the revised documentation now covers three levels of testing:</w:t>
      </w:r>
    </w:p>
    <w:p>
      <w:pPr>
        <w:pStyle w:val="ListParagraph"/>
        <w:numPr>
          <w:ilvl w:val="0"/>
          <w:numId w:val="2"/>
        </w:numPr>
        <w:spacing w:after="50" w:before="50" w:line="320"/>
      </w:pPr>
      <w:r>
        <w:rPr>
          <w:rFonts w:ascii="Arial" w:cs="Arial" w:eastAsia="Arial" w:hAnsi="Arial"/>
          <w:b/>
          <w:bCs/>
          <w:color w:val="1C2833"/>
          <w:sz w:val="22"/>
          <w:szCs w:val="22"/>
        </w:rPr>
        <w:t xml:space="preserve">Manual End-to-End Testing: </w:t>
      </w:r>
      <w:r>
        <w:rPr>
          <w:rFonts w:ascii="Arial" w:cs="Arial" w:eastAsia="Arial" w:hAnsi="Arial"/>
          <w:color w:val="1C2833"/>
          <w:sz w:val="22"/>
          <w:szCs w:val="22"/>
        </w:rPr>
        <w:t xml:space="preserve">8 complete user flow scenarios documented in a table with steps, expected results, and pass/fail status. Covers registration, approval flow, mid-session ban, crop CRUD, weather widget, marketplace ordering, and role isolation.</w:t>
      </w:r>
    </w:p>
    <w:p>
      <w:pPr>
        <w:pStyle w:val="ListParagraph"/>
        <w:numPr>
          <w:ilvl w:val="0"/>
          <w:numId w:val="2"/>
        </w:numPr>
        <w:spacing w:after="50" w:before="50" w:line="320"/>
      </w:pPr>
      <w:r>
        <w:rPr>
          <w:rFonts w:ascii="Arial" w:cs="Arial" w:eastAsia="Arial" w:hAnsi="Arial"/>
          <w:b/>
          <w:bCs/>
          <w:color w:val="1C2833"/>
          <w:sz w:val="22"/>
          <w:szCs w:val="22"/>
        </w:rPr>
        <w:t xml:space="preserve">API-Level Testing (Thunder Client): </w:t>
      </w:r>
      <w:r>
        <w:rPr>
          <w:rFonts w:ascii="Arial" w:cs="Arial" w:eastAsia="Arial" w:hAnsi="Arial"/>
          <w:color w:val="1C2833"/>
          <w:sz w:val="22"/>
          <w:szCs w:val="22"/>
        </w:rPr>
        <w:t xml:space="preserve">All 28 API endpoints tested for: happy path (valid authenticated requests), missing token (401 expected), wrong role (403 expected), invalid ObjectId (400/404 expected), insufficient stock orders (400 expected), and duplicate email registration (409 expected).</w:t>
      </w:r>
    </w:p>
    <w:p>
      <w:pPr>
        <w:pStyle w:val="ListParagraph"/>
        <w:numPr>
          <w:ilvl w:val="0"/>
          <w:numId w:val="2"/>
        </w:numPr>
        <w:spacing w:after="50" w:before="50" w:line="320"/>
      </w:pPr>
      <w:r>
        <w:rPr>
          <w:rFonts w:ascii="Arial" w:cs="Arial" w:eastAsia="Arial" w:hAnsi="Arial"/>
          <w:b/>
          <w:bCs/>
          <w:color w:val="1C2833"/>
          <w:sz w:val="22"/>
          <w:szCs w:val="22"/>
        </w:rPr>
        <w:t xml:space="preserve">Integration Testing: </w:t>
      </w:r>
      <w:r>
        <w:rPr>
          <w:rFonts w:ascii="Arial" w:cs="Arial" w:eastAsia="Arial" w:hAnsi="Arial"/>
          <w:color w:val="1C2833"/>
          <w:sz w:val="22"/>
          <w:szCs w:val="22"/>
        </w:rPr>
        <w:t xml:space="preserve">MongoDB Atlas connection tested across three network environments (home WiFi, university WiFi, mobile hotspot), confirming the network sensitivity of SRV connection strings on Philippine institutional networks. OpenWeatherMap API tested with Manila and Davao coordinates.</w:t>
      </w:r>
    </w:p>
    <w:p>
      <w:pPr>
        <w:spacing w:after="100" w:before="280"/>
      </w:pPr>
      <w:r>
        <w:rPr>
          <w:rFonts w:ascii="Arial" w:cs="Arial" w:eastAsia="Arial" w:hAnsi="Arial"/>
          <w:b/>
          <w:bCs/>
          <w:color w:val="0D4A2A"/>
          <w:sz w:val="26"/>
          <w:szCs w:val="26"/>
        </w:rPr>
        <w:t xml:space="preserve">Our Response — Challenges and Resolutions</w:t>
      </w:r>
    </w:p>
    <w:p>
      <w:pPr>
        <w:spacing w:after="80" w:before="80" w:line="360"/>
        <w:jc w:val="both"/>
      </w:pPr>
      <w:r>
        <w:rPr>
          <w:rFonts w:ascii="Arial" w:cs="Arial" w:eastAsia="Arial" w:hAnsi="Arial"/>
          <w:color w:val="1C2833"/>
          <w:sz w:val="22"/>
          <w:szCs w:val="22"/>
        </w:rPr>
        <w:t xml:space="preserve">Section 10.5 documents a Challenges and Resolutions table with five real development obstacles and their root causes and solutions:</w:t>
      </w:r>
    </w:p>
    <w:p>
      <w:pPr>
        <w:pStyle w:val="ListParagraph"/>
        <w:numPr>
          <w:ilvl w:val="0"/>
          <w:numId w:val="2"/>
        </w:numPr>
        <w:spacing w:after="50" w:before="50" w:line="320"/>
      </w:pPr>
      <w:r>
        <w:rPr>
          <w:rFonts w:ascii="Arial" w:cs="Arial" w:eastAsia="Arial" w:hAnsi="Arial"/>
          <w:b/>
          <w:bCs/>
          <w:color w:val="1C2833"/>
          <w:sz w:val="22"/>
          <w:szCs w:val="22"/>
        </w:rPr>
        <w:t xml:space="preserve">MongoDB ECONNREFUSED: </w:t>
      </w:r>
      <w:r>
        <w:rPr>
          <w:rFonts w:ascii="Arial" w:cs="Arial" w:eastAsia="Arial" w:hAnsi="Arial"/>
          <w:color w:val="1C2833"/>
          <w:sz w:val="22"/>
          <w:szCs w:val="22"/>
        </w:rPr>
        <w:t xml:space="preserve">Caused by a doubled MONGO_URI= prefix in the .env file and Windows appending .txt to the filename. Resolved by correcting both.</w:t>
      </w:r>
    </w:p>
    <w:p>
      <w:pPr>
        <w:pStyle w:val="ListParagraph"/>
        <w:numPr>
          <w:ilvl w:val="0"/>
          <w:numId w:val="2"/>
        </w:numPr>
        <w:spacing w:after="50" w:before="50" w:line="320"/>
      </w:pPr>
      <w:r>
        <w:rPr>
          <w:rFonts w:ascii="Arial" w:cs="Arial" w:eastAsia="Arial" w:hAnsi="Arial"/>
          <w:b/>
          <w:bCs/>
          <w:color w:val="1C2833"/>
          <w:sz w:val="22"/>
          <w:szCs w:val="22"/>
        </w:rPr>
        <w:t xml:space="preserve">MongoDB ENOTFOUND (DNS): </w:t>
      </w:r>
      <w:r>
        <w:rPr>
          <w:rFonts w:ascii="Arial" w:cs="Arial" w:eastAsia="Arial" w:hAnsi="Arial"/>
          <w:color w:val="1C2833"/>
          <w:sz w:val="22"/>
          <w:szCs w:val="22"/>
        </w:rPr>
        <w:t xml:space="preserve">University network blocked DNS SRV lookups for mongodb+srv:// URIs. Resolved by switching to the direct TCP connection string format (mongodb://) which bypasses SRV DNS resolution.</w:t>
      </w:r>
    </w:p>
    <w:p>
      <w:pPr>
        <w:pStyle w:val="ListParagraph"/>
        <w:numPr>
          <w:ilvl w:val="0"/>
          <w:numId w:val="2"/>
        </w:numPr>
        <w:spacing w:after="50" w:before="50" w:line="320"/>
      </w:pPr>
      <w:r>
        <w:rPr>
          <w:rFonts w:ascii="Arial" w:cs="Arial" w:eastAsia="Arial" w:hAnsi="Arial"/>
          <w:b/>
          <w:bCs/>
          <w:color w:val="1C2833"/>
          <w:sz w:val="22"/>
          <w:szCs w:val="22"/>
        </w:rPr>
        <w:t xml:space="preserve">Admin login hash mismatch: </w:t>
      </w:r>
      <w:r>
        <w:rPr>
          <w:rFonts w:ascii="Arial" w:cs="Arial" w:eastAsia="Arial" w:hAnsi="Arial"/>
          <w:color w:val="1C2833"/>
          <w:sz w:val="22"/>
          <w:szCs w:val="22"/>
        </w:rPr>
        <w:t xml:space="preserve">Pre-generated bcrypt hash from an external tool was incompatible with the project's bcryptjs version. Resolved by generating the hash using the project's own installed bcryptjs via the Node.js CLI.</w:t>
      </w:r>
    </w:p>
    <w:p>
      <w:pPr>
        <w:pStyle w:val="ListParagraph"/>
        <w:numPr>
          <w:ilvl w:val="0"/>
          <w:numId w:val="2"/>
        </w:numPr>
        <w:spacing w:after="50" w:before="50" w:line="320"/>
      </w:pPr>
      <w:r>
        <w:rPr>
          <w:rFonts w:ascii="Arial" w:cs="Arial" w:eastAsia="Arial" w:hAnsi="Arial"/>
          <w:b/>
          <w:bCs/>
          <w:color w:val="1C2833"/>
          <w:sz w:val="22"/>
          <w:szCs w:val="22"/>
        </w:rPr>
        <w:t xml:space="preserve">Mid-session ban not triggering: </w:t>
      </w:r>
      <w:r>
        <w:rPr>
          <w:rFonts w:ascii="Arial" w:cs="Arial" w:eastAsia="Arial" w:hAnsi="Arial"/>
          <w:color w:val="1C2833"/>
          <w:sz w:val="22"/>
          <w:szCs w:val="22"/>
        </w:rPr>
        <w:t xml:space="preserve">banCheck middleware was not applied to all protected routes. Resolved by adding it to the global auth middleware chain.</w:t>
      </w:r>
    </w:p>
    <w:p>
      <w:pPr>
        <w:pStyle w:val="ListParagraph"/>
        <w:numPr>
          <w:ilvl w:val="0"/>
          <w:numId w:val="2"/>
        </w:numPr>
        <w:spacing w:after="50" w:before="50" w:line="320"/>
      </w:pPr>
      <w:r>
        <w:rPr>
          <w:rFonts w:ascii="Arial" w:cs="Arial" w:eastAsia="Arial" w:hAnsi="Arial"/>
          <w:b/>
          <w:bCs/>
          <w:color w:val="1C2833"/>
          <w:sz w:val="22"/>
          <w:szCs w:val="22"/>
        </w:rPr>
        <w:t xml:space="preserve">React state not updating after delete: </w:t>
      </w:r>
      <w:r>
        <w:rPr>
          <w:rFonts w:ascii="Arial" w:cs="Arial" w:eastAsia="Arial" w:hAnsi="Arial"/>
          <w:color w:val="1C2833"/>
          <w:sz w:val="22"/>
          <w:szCs w:val="22"/>
        </w:rPr>
        <w:t xml:space="preserve">Component not refetching data after a delete operation. Resolved by using the delete response to trigger a state update via useEffect dependency.</w:t>
      </w:r>
    </w:p>
    <w:p>
      <w:pPr>
        <w:spacing w:after="0" w:before="120"/>
      </w:pPr>
    </w:p>
    <w:p>
      <w:pPr>
        <w:pBdr>
          <w:bottom w:val="single" w:color="1A6B3C" w:sz="6" w:space="4"/>
        </w:pBdr>
        <w:spacing w:after="160" w:before="400"/>
      </w:pPr>
      <w:r>
        <w:rPr>
          <w:rFonts w:ascii="Arial" w:cs="Arial" w:eastAsia="Arial" w:hAnsi="Arial"/>
          <w:b/>
          <w:bCs/>
          <w:color w:val="1A6B3C"/>
          <w:sz w:val="32"/>
          <w:szCs w:val="32"/>
        </w:rPr>
        <w:t xml:space="preserve">7. Conclusion — Achievements, Impact,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C" w:sz="18"/>
              <w:bottom w:val="none" w:color="FFFFFF" w:sz="0"/>
              <w:right w:val="none" w:color="FFFFFF" w:sz="0"/>
            </w:tcBorders>
            <w:shd w:fill="E8F5E9" w:val="clear"/>
            <w:tcMar>
              <w:top w:type="dxa" w:w="120"/>
              <w:left w:type="dxa" w:w="240"/>
              <w:bottom w:type="dxa" w:w="120"/>
              <w:right w:type="dxa" w:w="240"/>
            </w:tcMar>
          </w:tcPr>
          <w:p>
            <w:r>
              <w:rPr>
                <w:rFonts w:ascii="Arial" w:cs="Arial" w:eastAsia="Arial" w:hAnsi="Arial"/>
                <w:i/>
                <w:iCs/>
                <w:color w:val="1C2833"/>
                <w:sz w:val="21"/>
                <w:szCs w:val="21"/>
              </w:rPr>
              <w:t xml:space="preserve">Professor's Concern: The Conclusion should summarize the project's achievements, reiterate the project's impact, and outline potential future enhancements.</w:t>
            </w:r>
          </w:p>
        </w:tc>
      </w:tr>
    </w:tbl>
    <w:p>
      <w:pPr>
        <w:spacing w:after="0" w:before="80"/>
      </w:pPr>
    </w:p>
    <w:p>
      <w:pPr>
        <w:spacing w:after="100" w:before="280"/>
      </w:pPr>
      <w:r>
        <w:rPr>
          <w:rFonts w:ascii="Arial" w:cs="Arial" w:eastAsia="Arial" w:hAnsi="Arial"/>
          <w:b/>
          <w:bCs/>
          <w:color w:val="0D4A2A"/>
          <w:sz w:val="26"/>
          <w:szCs w:val="26"/>
        </w:rPr>
        <w:t xml:space="preserve">Our Response</w:t>
      </w:r>
    </w:p>
    <w:p>
      <w:pPr>
        <w:spacing w:after="80" w:before="80" w:line="360"/>
        <w:jc w:val="both"/>
      </w:pPr>
      <w:r>
        <w:rPr>
          <w:rFonts w:ascii="Arial" w:cs="Arial" w:eastAsia="Arial" w:hAnsi="Arial"/>
          <w:color w:val="1C2833"/>
          <w:sz w:val="22"/>
          <w:szCs w:val="22"/>
        </w:rPr>
        <w:t xml:space="preserve">Section 14 of the revised documentation now contains a full four-part Conclusion:</w:t>
      </w:r>
    </w:p>
    <w:p>
      <w:pPr>
        <w:pStyle w:val="ListParagraph"/>
        <w:numPr>
          <w:ilvl w:val="0"/>
          <w:numId w:val="2"/>
        </w:numPr>
        <w:spacing w:after="50" w:before="50" w:line="320"/>
      </w:pPr>
      <w:r>
        <w:rPr>
          <w:rFonts w:ascii="Arial" w:cs="Arial" w:eastAsia="Arial" w:hAnsi="Arial"/>
          <w:b/>
          <w:bCs/>
          <w:color w:val="1C2833"/>
          <w:sz w:val="22"/>
          <w:szCs w:val="22"/>
        </w:rPr>
        <w:t xml:space="preserve">14.1 Summary of Achievements: </w:t>
      </w:r>
      <w:r>
        <w:rPr>
          <w:rFonts w:ascii="Arial" w:cs="Arial" w:eastAsia="Arial" w:hAnsi="Arial"/>
          <w:color w:val="1C2833"/>
          <w:sz w:val="22"/>
          <w:szCs w:val="22"/>
        </w:rPr>
        <w:t xml:space="preserve">Explicitly enumerates the technical deliverables: 13 farmer modules, 9 admin modules, 28+ REST API endpoints, a JWT authentication system with RBAC and real-time ban detection, OpenWeatherMap integration, a rule-based pest alert engine, and an atomic order management system.</w:t>
      </w:r>
    </w:p>
    <w:p>
      <w:pPr>
        <w:pStyle w:val="ListParagraph"/>
        <w:numPr>
          <w:ilvl w:val="0"/>
          <w:numId w:val="2"/>
        </w:numPr>
        <w:spacing w:after="50" w:before="50" w:line="320"/>
      </w:pPr>
      <w:r>
        <w:rPr>
          <w:rFonts w:ascii="Arial" w:cs="Arial" w:eastAsia="Arial" w:hAnsi="Arial"/>
          <w:b/>
          <w:bCs/>
          <w:color w:val="1C2833"/>
          <w:sz w:val="22"/>
          <w:szCs w:val="22"/>
        </w:rPr>
        <w:t xml:space="preserve">14.2 Project Impact: </w:t>
      </w:r>
      <w:r>
        <w:rPr>
          <w:rFonts w:ascii="Arial" w:cs="Arial" w:eastAsia="Arial" w:hAnsi="Arial"/>
          <w:color w:val="1C2833"/>
          <w:sz w:val="22"/>
          <w:szCs w:val="22"/>
        </w:rPr>
        <w:t xml:space="preserve">Directly connects the platform's features to the original problem statement — reducing information asymmetry for farmers, consolidating fragmented agricultural tools, and providing a trusted, moderated community environment.</w:t>
      </w:r>
    </w:p>
    <w:p>
      <w:pPr>
        <w:pStyle w:val="ListParagraph"/>
        <w:numPr>
          <w:ilvl w:val="0"/>
          <w:numId w:val="2"/>
        </w:numPr>
        <w:spacing w:after="50" w:before="50" w:line="320"/>
      </w:pPr>
      <w:r>
        <w:rPr>
          <w:rFonts w:ascii="Arial" w:cs="Arial" w:eastAsia="Arial" w:hAnsi="Arial"/>
          <w:b/>
          <w:bCs/>
          <w:color w:val="1C2833"/>
          <w:sz w:val="22"/>
          <w:szCs w:val="22"/>
        </w:rPr>
        <w:t xml:space="preserve">14.3 Reflections and Lessons Learned: </w:t>
      </w:r>
      <w:r>
        <w:rPr>
          <w:rFonts w:ascii="Arial" w:cs="Arial" w:eastAsia="Arial" w:hAnsi="Arial"/>
          <w:color w:val="1C2833"/>
          <w:sz w:val="22"/>
          <w:szCs w:val="22"/>
        </w:rPr>
        <w:t xml:space="preserve">Five concrete lessons are articulated, including: the critical importance of environment configuration management, the need to anticipate network-level compatibility issues for Philippine institutional networks, and the value of designing security in from the beginning rather than retrofitting it.</w:t>
      </w:r>
    </w:p>
    <w:p>
      <w:pPr>
        <w:pStyle w:val="ListParagraph"/>
        <w:numPr>
          <w:ilvl w:val="0"/>
          <w:numId w:val="2"/>
        </w:numPr>
        <w:spacing w:after="50" w:before="50" w:line="320"/>
      </w:pPr>
      <w:r>
        <w:rPr>
          <w:rFonts w:ascii="Arial" w:cs="Arial" w:eastAsia="Arial" w:hAnsi="Arial"/>
          <w:b/>
          <w:bCs/>
          <w:color w:val="1C2833"/>
          <w:sz w:val="22"/>
          <w:szCs w:val="22"/>
        </w:rPr>
        <w:t xml:space="preserve">14.4 Future Enhancements (Section 13): </w:t>
      </w:r>
      <w:r>
        <w:rPr>
          <w:rFonts w:ascii="Arial" w:cs="Arial" w:eastAsia="Arial" w:hAnsi="Arial"/>
          <w:color w:val="1C2833"/>
          <w:sz w:val="22"/>
          <w:szCs w:val="22"/>
        </w:rPr>
        <w:t xml:space="preserve">Six technical enhancements are detailed (ML crop recommendations via Python/scikit-learn microservice, WebSocket push notifications, Cloudinary image uploads, PayMongo payment integration, Redis caching, Docker containerization) and six feature enhancements (React Native mobile app, Semaphore SMS, IoT soil sensor integration, PWA offline mode, multi-language support, PAGASA/PSA government data integration).</w:t>
      </w:r>
    </w:p>
    <w:p>
      <w:pPr>
        <w:spacing w:after="0" w:before="200"/>
      </w:pPr>
    </w:p>
    <w:p>
      <w:pPr>
        <w:pBdr>
          <w:top w:val="single" w:color="CCCCCC" w:sz="4" w:space="4"/>
        </w:pBdr>
        <w:spacing w:after="80" w:before="160"/>
      </w:pPr>
    </w:p>
    <w:p>
      <w:pPr>
        <w:spacing w:after="80" w:before="80" w:line="360"/>
        <w:jc w:val="both"/>
      </w:pPr>
      <w:r>
        <w:rPr>
          <w:rFonts w:ascii="Arial" w:cs="Arial" w:eastAsia="Arial" w:hAnsi="Arial"/>
          <w:color w:val="1C2833"/>
          <w:sz w:val="22"/>
          <w:szCs w:val="22"/>
        </w:rPr>
        <w:t xml:space="preserve">We believe the revised documentation substantially addresses every concern raised in the feedback. We are grateful for the guidance and welcome any further questions or clarifications.</w:t>
      </w:r>
    </w:p>
    <w:p>
      <w:pPr>
        <w:spacing w:after="0" w:before="80"/>
      </w:pPr>
    </w:p>
    <w:p>
      <w:r>
        <w:rPr>
          <w:rFonts w:ascii="Arial" w:cs="Arial" w:eastAsia="Arial" w:hAnsi="Arial"/>
          <w:color w:val="1C2833"/>
          <w:sz w:val="22"/>
          <w:szCs w:val="22"/>
        </w:rPr>
        <w:t xml:space="preserve">Respectfully submitted,</w:t>
      </w:r>
    </w:p>
    <w:p>
      <w:pPr>
        <w:spacing w:after="0" w:before="60"/>
      </w:pPr>
    </w:p>
    <w:p>
      <w:r>
        <w:rPr>
          <w:rFonts w:ascii="Arial" w:cs="Arial" w:eastAsia="Arial" w:hAnsi="Arial"/>
          <w:b/>
          <w:bCs/>
          <w:color w:val="1A6B3C"/>
          <w:sz w:val="22"/>
          <w:szCs w:val="22"/>
        </w:rPr>
        <w:t xml:space="preserve">Reynah Mjeane Delacruz and Team</w:t>
      </w:r>
    </w:p>
    <w:p>
      <w:r>
        <w:rPr>
          <w:rFonts w:ascii="Arial" w:cs="Arial" w:eastAsia="Arial" w:hAnsi="Arial"/>
          <w:color w:val="5D6D7E"/>
          <w:sz w:val="20"/>
          <w:szCs w:val="20"/>
        </w:rPr>
        <w:t xml:space="preserve">Agri-Tech Platform — Capstone Project  |  AY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2026-05-27T07:42:32.168Z</dcterms:created>
  <dcterms:modified xsi:type="dcterms:W3CDTF">2026-05-27T07:42:32.180Z</dcterms:modified>
</cp:coreProperties>
</file>

<file path=docProps/custom.xml><?xml version="1.0" encoding="utf-8"?>
<Properties xmlns="http://schemas.openxmlformats.org/officeDocument/2006/custom-properties" xmlns:vt="http://schemas.openxmlformats.org/officeDocument/2006/docPropsVTypes"/>
</file>