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NEXABANK</w:t>
      </w:r>
    </w:p>
    <w:p>
      <w:pPr>
        <w:jc w:val="center"/>
      </w:pPr>
      <w:r>
        <w:rPr>
          <w:b/>
          <w:sz w:val="40"/>
        </w:rPr>
        <w:t>Comprehensive Banking Knowledge Base</w:t>
      </w:r>
    </w:p>
    <w:p>
      <w:pPr>
        <w:jc w:val="center"/>
      </w:pPr>
      <w:r>
        <w:rPr>
          <w:i/>
        </w:rPr>
        <w:t>Synthetic Institutional Reference Document for RAG and Agentic AI Prototype</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Document Property</w:t>
            </w:r>
          </w:p>
        </w:tc>
        <w:tc>
          <w:tcPr>
            <w:tcW w:type="dxa" w:w="4968"/>
          </w:tcPr>
          <w:p>
            <w:r>
              <w:rPr>
                <w:b/>
              </w:rPr>
              <w:t>Value</w:t>
            </w:r>
          </w:p>
        </w:tc>
      </w:tr>
      <w:tr>
        <w:tc>
          <w:tcPr>
            <w:tcW w:type="dxa" w:w="4968"/>
            <w:vAlign w:val="top"/>
          </w:tcPr>
          <w:p>
            <w:r>
              <w:t>Institution</w:t>
            </w:r>
          </w:p>
        </w:tc>
        <w:tc>
          <w:tcPr>
            <w:tcW w:type="dxa" w:w="4968"/>
            <w:vAlign w:val="top"/>
          </w:tcPr>
          <w:p>
            <w:r>
              <w:t>NexaBank (fictional)</w:t>
            </w:r>
          </w:p>
        </w:tc>
      </w:tr>
      <w:tr>
        <w:tc>
          <w:tcPr>
            <w:tcW w:type="dxa" w:w="4968"/>
            <w:vAlign w:val="top"/>
          </w:tcPr>
          <w:p>
            <w:r>
              <w:t>Document type</w:t>
            </w:r>
          </w:p>
        </w:tc>
        <w:tc>
          <w:tcPr>
            <w:tcW w:type="dxa" w:w="4968"/>
            <w:vAlign w:val="top"/>
          </w:tcPr>
          <w:p>
            <w:r>
              <w:t>Synthetic banking knowledge base</w:t>
            </w:r>
          </w:p>
        </w:tc>
      </w:tr>
      <w:tr>
        <w:tc>
          <w:tcPr>
            <w:tcW w:type="dxa" w:w="4968"/>
            <w:vAlign w:val="top"/>
          </w:tcPr>
          <w:p>
            <w:r>
              <w:t>Version</w:t>
            </w:r>
          </w:p>
        </w:tc>
        <w:tc>
          <w:tcPr>
            <w:tcW w:type="dxa" w:w="4968"/>
            <w:vAlign w:val="top"/>
          </w:tcPr>
          <w:p>
            <w:r>
              <w:t>2.0</w:t>
            </w:r>
          </w:p>
        </w:tc>
      </w:tr>
      <w:tr>
        <w:tc>
          <w:tcPr>
            <w:tcW w:type="dxa" w:w="4968"/>
            <w:vAlign w:val="top"/>
          </w:tcPr>
          <w:p>
            <w:r>
              <w:t>Effective date</w:t>
            </w:r>
          </w:p>
        </w:tc>
        <w:tc>
          <w:tcPr>
            <w:tcW w:type="dxa" w:w="4968"/>
            <w:vAlign w:val="top"/>
          </w:tcPr>
          <w:p>
            <w:r>
              <w:t>1 January 2026</w:t>
            </w:r>
          </w:p>
        </w:tc>
      </w:tr>
      <w:tr>
        <w:tc>
          <w:tcPr>
            <w:tcW w:type="dxa" w:w="4968"/>
            <w:vAlign w:val="top"/>
          </w:tcPr>
          <w:p>
            <w:r>
              <w:t>Review cycle</w:t>
            </w:r>
          </w:p>
        </w:tc>
        <w:tc>
          <w:tcPr>
            <w:tcW w:type="dxa" w:w="4968"/>
            <w:vAlign w:val="top"/>
          </w:tcPr>
          <w:p>
            <w:r>
              <w:t>Annual, or upon policy change</w:t>
            </w:r>
          </w:p>
        </w:tc>
      </w:tr>
      <w:tr>
        <w:tc>
          <w:tcPr>
            <w:tcW w:type="dxa" w:w="4968"/>
            <w:vAlign w:val="top"/>
          </w:tcPr>
          <w:p>
            <w:r>
              <w:t>Intended use</w:t>
            </w:r>
          </w:p>
        </w:tc>
        <w:tc>
          <w:tcPr>
            <w:tcW w:type="dxa" w:w="4968"/>
            <w:vAlign w:val="top"/>
          </w:tcPr>
          <w:p>
            <w:r>
              <w:t>RAG retrieval, AI agent grounding, prototype demonstrations</w:t>
            </w:r>
          </w:p>
        </w:tc>
      </w:tr>
      <w:tr>
        <w:tc>
          <w:tcPr>
            <w:tcW w:type="dxa" w:w="4968"/>
            <w:vAlign w:val="top"/>
          </w:tcPr>
          <w:p>
            <w:r>
              <w:t>Data classification</w:t>
            </w:r>
          </w:p>
        </w:tc>
        <w:tc>
          <w:tcPr>
            <w:tcW w:type="dxa" w:w="4968"/>
            <w:vAlign w:val="top"/>
          </w:tcPr>
          <w:p>
            <w:r>
              <w:t>Synthetic / Prototype</w:t>
            </w:r>
          </w:p>
        </w:tc>
      </w:tr>
      <w:tr>
        <w:tc>
          <w:tcPr>
            <w:tcW w:type="dxa" w:w="4968"/>
            <w:vAlign w:val="top"/>
          </w:tcPr>
          <w:p>
            <w:r>
              <w:t>Geographic context</w:t>
            </w:r>
          </w:p>
        </w:tc>
        <w:tc>
          <w:tcPr>
            <w:tcW w:type="dxa" w:w="4968"/>
            <w:vAlign w:val="top"/>
          </w:tcPr>
          <w:p>
            <w:r>
              <w:t>Pakistan-focused fictional banking environment</w:t>
            </w:r>
          </w:p>
        </w:tc>
      </w:tr>
    </w:tbl>
    <w:p/>
    <w:p>
      <w:r>
        <w:rPr>
          <w:b/>
        </w:rPr>
        <w:t xml:space="preserve">Important notice: </w:t>
      </w:r>
      <w:r>
        <w:t>NexaBank, its products, policies, rates, limits, procedures, employees, and customer records described in this document are fictional and created solely for an AI banking prototype. This document is not a real bank policy, does not represent any real financial institution, and must not be used for actual financial decisions.</w:t>
      </w:r>
    </w:p>
    <w:p>
      <w:pPr>
        <w:pStyle w:val="Heading1"/>
      </w:pPr>
      <w:r>
        <w:t>Document Structure and Retrieval Map</w:t>
      </w:r>
    </w:p>
    <w:p>
      <w:r>
        <w:t>This document is intentionally organized into semantically meaningful sections so that a retrieval system can locate policy-level answers without depending on one monolithic paragraph. Each section contains terminology, definitions, eligibility criteria, limits, procedures, exceptions, and examples.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Section</w:t>
            </w:r>
          </w:p>
        </w:tc>
        <w:tc>
          <w:tcPr>
            <w:tcW w:type="dxa" w:w="4968"/>
          </w:tcPr>
          <w:p>
            <w:r>
              <w:rPr>
                <w:b/>
              </w:rPr>
              <w:t>Knowledge Domain</w:t>
            </w:r>
          </w:p>
        </w:tc>
      </w:tr>
      <w:tr>
        <w:tc>
          <w:tcPr>
            <w:tcW w:type="dxa" w:w="4968"/>
            <w:vAlign w:val="top"/>
          </w:tcPr>
          <w:p>
            <w:r>
              <w:t>1</w:t>
            </w:r>
          </w:p>
        </w:tc>
        <w:tc>
          <w:tcPr>
            <w:tcW w:type="dxa" w:w="4968"/>
            <w:vAlign w:val="top"/>
          </w:tcPr>
          <w:p>
            <w:r>
              <w:t>Institutional profile and banking principles</w:t>
            </w:r>
          </w:p>
        </w:tc>
      </w:tr>
      <w:tr>
        <w:tc>
          <w:tcPr>
            <w:tcW w:type="dxa" w:w="4968"/>
            <w:vAlign w:val="top"/>
          </w:tcPr>
          <w:p>
            <w:r>
              <w:t>2</w:t>
            </w:r>
          </w:p>
        </w:tc>
        <w:tc>
          <w:tcPr>
            <w:tcW w:type="dxa" w:w="4968"/>
            <w:vAlign w:val="top"/>
          </w:tcPr>
          <w:p>
            <w:r>
              <w:t>Customer onboarding and KYC</w:t>
            </w:r>
          </w:p>
        </w:tc>
      </w:tr>
      <w:tr>
        <w:tc>
          <w:tcPr>
            <w:tcW w:type="dxa" w:w="4968"/>
            <w:vAlign w:val="top"/>
          </w:tcPr>
          <w:p>
            <w:r>
              <w:t>3</w:t>
            </w:r>
          </w:p>
        </w:tc>
        <w:tc>
          <w:tcPr>
            <w:tcW w:type="dxa" w:w="4968"/>
            <w:vAlign w:val="top"/>
          </w:tcPr>
          <w:p>
            <w:r>
              <w:t>Deposit accounts</w:t>
            </w:r>
          </w:p>
        </w:tc>
      </w:tr>
      <w:tr>
        <w:tc>
          <w:tcPr>
            <w:tcW w:type="dxa" w:w="4968"/>
            <w:vAlign w:val="top"/>
          </w:tcPr>
          <w:p>
            <w:r>
              <w:t>4</w:t>
            </w:r>
          </w:p>
        </w:tc>
        <w:tc>
          <w:tcPr>
            <w:tcW w:type="dxa" w:w="4968"/>
            <w:vAlign w:val="top"/>
          </w:tcPr>
          <w:p>
            <w:r>
              <w:t>Cards and card services</w:t>
            </w:r>
          </w:p>
        </w:tc>
      </w:tr>
      <w:tr>
        <w:tc>
          <w:tcPr>
            <w:tcW w:type="dxa" w:w="4968"/>
            <w:vAlign w:val="top"/>
          </w:tcPr>
          <w:p>
            <w:r>
              <w:t>5</w:t>
            </w:r>
          </w:p>
        </w:tc>
        <w:tc>
          <w:tcPr>
            <w:tcW w:type="dxa" w:w="4968"/>
            <w:vAlign w:val="top"/>
          </w:tcPr>
          <w:p>
            <w:r>
              <w:t>Digital banking</w:t>
            </w:r>
          </w:p>
        </w:tc>
      </w:tr>
      <w:tr>
        <w:tc>
          <w:tcPr>
            <w:tcW w:type="dxa" w:w="4968"/>
            <w:vAlign w:val="top"/>
          </w:tcPr>
          <w:p>
            <w:r>
              <w:t>6</w:t>
            </w:r>
          </w:p>
        </w:tc>
        <w:tc>
          <w:tcPr>
            <w:tcW w:type="dxa" w:w="4968"/>
            <w:vAlign w:val="top"/>
          </w:tcPr>
          <w:p>
            <w:r>
              <w:t>Payments and transfers</w:t>
            </w:r>
          </w:p>
        </w:tc>
      </w:tr>
      <w:tr>
        <w:tc>
          <w:tcPr>
            <w:tcW w:type="dxa" w:w="4968"/>
            <w:vAlign w:val="top"/>
          </w:tcPr>
          <w:p>
            <w:r>
              <w:t>7</w:t>
            </w:r>
          </w:p>
        </w:tc>
        <w:tc>
          <w:tcPr>
            <w:tcW w:type="dxa" w:w="4968"/>
            <w:vAlign w:val="top"/>
          </w:tcPr>
          <w:p>
            <w:r>
              <w:t>Personal financing</w:t>
            </w:r>
          </w:p>
        </w:tc>
      </w:tr>
      <w:tr>
        <w:tc>
          <w:tcPr>
            <w:tcW w:type="dxa" w:w="4968"/>
            <w:vAlign w:val="top"/>
          </w:tcPr>
          <w:p>
            <w:r>
              <w:t>8</w:t>
            </w:r>
          </w:p>
        </w:tc>
        <w:tc>
          <w:tcPr>
            <w:tcW w:type="dxa" w:w="4968"/>
            <w:vAlign w:val="top"/>
          </w:tcPr>
          <w:p>
            <w:r>
              <w:t>Home and auto financing</w:t>
            </w:r>
          </w:p>
        </w:tc>
      </w:tr>
      <w:tr>
        <w:tc>
          <w:tcPr>
            <w:tcW w:type="dxa" w:w="4968"/>
            <w:vAlign w:val="top"/>
          </w:tcPr>
          <w:p>
            <w:r>
              <w:t>9</w:t>
            </w:r>
          </w:p>
        </w:tc>
        <w:tc>
          <w:tcPr>
            <w:tcW w:type="dxa" w:w="4968"/>
            <w:vAlign w:val="top"/>
          </w:tcPr>
          <w:p>
            <w:r>
              <w:t>Fees, charges, limits and service standards</w:t>
            </w:r>
          </w:p>
        </w:tc>
      </w:tr>
      <w:tr>
        <w:tc>
          <w:tcPr>
            <w:tcW w:type="dxa" w:w="4968"/>
            <w:vAlign w:val="top"/>
          </w:tcPr>
          <w:p>
            <w:r>
              <w:t>10</w:t>
            </w:r>
          </w:p>
        </w:tc>
        <w:tc>
          <w:tcPr>
            <w:tcW w:type="dxa" w:w="4968"/>
            <w:vAlign w:val="top"/>
          </w:tcPr>
          <w:p>
            <w:r>
              <w:t>Fraud, security and suspicious activity</w:t>
            </w:r>
          </w:p>
        </w:tc>
      </w:tr>
      <w:tr>
        <w:tc>
          <w:tcPr>
            <w:tcW w:type="dxa" w:w="4968"/>
            <w:vAlign w:val="top"/>
          </w:tcPr>
          <w:p>
            <w:r>
              <w:t>11</w:t>
            </w:r>
          </w:p>
        </w:tc>
        <w:tc>
          <w:tcPr>
            <w:tcW w:type="dxa" w:w="4968"/>
            <w:vAlign w:val="top"/>
          </w:tcPr>
          <w:p>
            <w:r>
              <w:t>Privacy and information handling</w:t>
            </w:r>
          </w:p>
        </w:tc>
      </w:tr>
      <w:tr>
        <w:tc>
          <w:tcPr>
            <w:tcW w:type="dxa" w:w="4968"/>
            <w:vAlign w:val="top"/>
          </w:tcPr>
          <w:p>
            <w:r>
              <w:t>12</w:t>
            </w:r>
          </w:p>
        </w:tc>
        <w:tc>
          <w:tcPr>
            <w:tcW w:type="dxa" w:w="4968"/>
            <w:vAlign w:val="top"/>
          </w:tcPr>
          <w:p>
            <w:r>
              <w:t>Complaints and dispute resolution</w:t>
            </w:r>
          </w:p>
        </w:tc>
      </w:tr>
      <w:tr>
        <w:tc>
          <w:tcPr>
            <w:tcW w:type="dxa" w:w="4968"/>
            <w:vAlign w:val="top"/>
          </w:tcPr>
          <w:p>
            <w:r>
              <w:t>13</w:t>
            </w:r>
          </w:p>
        </w:tc>
        <w:tc>
          <w:tcPr>
            <w:tcW w:type="dxa" w:w="4968"/>
            <w:vAlign w:val="top"/>
          </w:tcPr>
          <w:p>
            <w:r>
              <w:t>AI assistant and agent governance</w:t>
            </w:r>
          </w:p>
        </w:tc>
      </w:tr>
      <w:tr>
        <w:tc>
          <w:tcPr>
            <w:tcW w:type="dxa" w:w="4968"/>
            <w:vAlign w:val="top"/>
          </w:tcPr>
          <w:p>
            <w:r>
              <w:t>14</w:t>
            </w:r>
          </w:p>
        </w:tc>
        <w:tc>
          <w:tcPr>
            <w:tcW w:type="dxa" w:w="4968"/>
            <w:vAlign w:val="top"/>
          </w:tcPr>
          <w:p>
            <w:r>
              <w:t>Financial education and customer guidance</w:t>
            </w:r>
          </w:p>
        </w:tc>
      </w:tr>
      <w:tr>
        <w:tc>
          <w:tcPr>
            <w:tcW w:type="dxa" w:w="4968"/>
            <w:vAlign w:val="top"/>
          </w:tcPr>
          <w:p>
            <w:r>
              <w:t>15</w:t>
            </w:r>
          </w:p>
        </w:tc>
        <w:tc>
          <w:tcPr>
            <w:tcW w:type="dxa" w:w="4968"/>
            <w:vAlign w:val="top"/>
          </w:tcPr>
          <w:p>
            <w:r>
              <w:t>Glossary</w:t>
            </w:r>
          </w:p>
        </w:tc>
      </w:tr>
      <w:tr>
        <w:tc>
          <w:tcPr>
            <w:tcW w:type="dxa" w:w="4968"/>
            <w:vAlign w:val="top"/>
          </w:tcPr>
          <w:p>
            <w:r>
              <w:t>16</w:t>
            </w:r>
          </w:p>
        </w:tc>
        <w:tc>
          <w:tcPr>
            <w:tcW w:type="dxa" w:w="4968"/>
            <w:vAlign w:val="top"/>
          </w:tcPr>
          <w:p>
            <w:r>
              <w:t>Frequently asked questions</w:t>
            </w:r>
          </w:p>
        </w:tc>
      </w:tr>
      <w:tr>
        <w:tc>
          <w:tcPr>
            <w:tcW w:type="dxa" w:w="4968"/>
            <w:vAlign w:val="top"/>
          </w:tcPr>
          <w:p>
            <w:r>
              <w:t>17</w:t>
            </w:r>
          </w:p>
        </w:tc>
        <w:tc>
          <w:tcPr>
            <w:tcW w:type="dxa" w:w="4968"/>
            <w:vAlign w:val="top"/>
          </w:tcPr>
          <w:p>
            <w:r>
              <w:t>Policy decision examples and edge cases</w:t>
            </w:r>
          </w:p>
        </w:tc>
      </w:tr>
    </w:tbl>
    <w:p/>
    <w:p>
      <w:pPr>
        <w:pStyle w:val="Heading1"/>
      </w:pPr>
      <w:r>
        <w:t>1. Institutional Profile and Banking Principles</w:t>
      </w:r>
    </w:p>
    <w:p>
      <w:pPr>
        <w:pStyle w:val="Heading2"/>
      </w:pPr>
      <w:r>
        <w:t>1.1 About NexaBank</w:t>
      </w:r>
    </w:p>
    <w:p>
      <w:r>
        <w:t>NexaBank is a fictional full-service commercial bank designed for a digital banking and agentic AI prototype. The institution offers retail banking, digital payments, cards, consumer financing, customer support, fraud monitoring, and financial guidance.</w:t>
      </w:r>
    </w:p>
    <w:p>
      <w:r>
        <w:t>NexaBank operates through a combination of digital channels, branches, automated teller machines, customer service channels, and controlled internal banking systems. Customer-facing AI services are considered support systems and do not replace authorized banking decision systems.</w:t>
      </w:r>
    </w:p>
    <w:p>
      <w:pPr>
        <w:pStyle w:val="Heading2"/>
      </w:pPr>
      <w:r>
        <w:t>1.2 Core Banking Principles</w:t>
      </w:r>
    </w:p>
    <w:p>
      <w:pPr>
        <w:pStyle w:val="ListBullet"/>
      </w:pPr>
      <w:r>
        <w:t>Customer identity must be verified before protected customer information is disclosed.</w:t>
      </w:r>
    </w:p>
    <w:p>
      <w:pPr>
        <w:pStyle w:val="ListBullet"/>
      </w:pPr>
      <w:r>
        <w:t>Financial transactions must be authorized through the appropriate banking system.</w:t>
      </w:r>
    </w:p>
    <w:p>
      <w:pPr>
        <w:pStyle w:val="ListBullet"/>
      </w:pPr>
      <w:r>
        <w:t>Customer-specific information must not be inferred when it is unavailable.</w:t>
      </w:r>
    </w:p>
    <w:p>
      <w:pPr>
        <w:pStyle w:val="ListBullet"/>
      </w:pPr>
      <w:r>
        <w:t>Bank policy documents are authoritative for product and procedure questions within the prototype.</w:t>
      </w:r>
    </w:p>
    <w:p>
      <w:pPr>
        <w:pStyle w:val="ListBullet"/>
      </w:pPr>
      <w:r>
        <w:t>AI-generated recommendations must be distinguished from formal banking decisions.</w:t>
      </w:r>
    </w:p>
    <w:p>
      <w:pPr>
        <w:pStyle w:val="ListBullet"/>
      </w:pPr>
      <w:r>
        <w:t>Fraud indicators are risk signals and are not, by themselves, proof of fraud.</w:t>
      </w:r>
    </w:p>
    <w:p>
      <w:pPr>
        <w:pStyle w:val="ListBullet"/>
      </w:pPr>
      <w:r>
        <w:t>Customer privacy and least-privilege access apply to all internal and AI-enabled services.</w:t>
      </w:r>
    </w:p>
    <w:p>
      <w:pPr>
        <w:pStyle w:val="ListBullet"/>
      </w:pPr>
      <w:r>
        <w:t>When information is incomplete, the system must disclose the limitation rather than inventing an answer.</w:t>
      </w:r>
    </w:p>
    <w:p>
      <w:pPr>
        <w:pStyle w:val="Heading2"/>
      </w:pPr>
      <w:r>
        <w:t>1.3 Banking Customer Segments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Segment</w:t>
            </w:r>
          </w:p>
        </w:tc>
        <w:tc>
          <w:tcPr>
            <w:tcW w:type="dxa" w:w="3312"/>
          </w:tcPr>
          <w:p>
            <w:r>
              <w:rPr>
                <w:b/>
              </w:rPr>
              <w:t>Description</w:t>
            </w:r>
          </w:p>
        </w:tc>
        <w:tc>
          <w:tcPr>
            <w:tcW w:type="dxa" w:w="3312"/>
          </w:tcPr>
          <w:p>
            <w:r>
              <w:rPr>
                <w:b/>
              </w:rPr>
              <w:t>Typical Products</w:t>
            </w:r>
          </w:p>
        </w:tc>
      </w:tr>
      <w:tr>
        <w:tc>
          <w:tcPr>
            <w:tcW w:type="dxa" w:w="3312"/>
            <w:vAlign w:val="top"/>
          </w:tcPr>
          <w:p>
            <w:r>
              <w:t>Student</w:t>
            </w:r>
          </w:p>
        </w:tc>
        <w:tc>
          <w:tcPr>
            <w:tcW w:type="dxa" w:w="3312"/>
            <w:vAlign w:val="top"/>
          </w:tcPr>
          <w:p>
            <w:r>
              <w:t>University or college student</w:t>
            </w:r>
          </w:p>
        </w:tc>
        <w:tc>
          <w:tcPr>
            <w:tcW w:type="dxa" w:w="3312"/>
            <w:vAlign w:val="top"/>
          </w:tcPr>
          <w:p>
            <w:r>
              <w:t>Student account, debit card, digital banking</w:t>
            </w:r>
          </w:p>
        </w:tc>
      </w:tr>
      <w:tr>
        <w:tc>
          <w:tcPr>
            <w:tcW w:type="dxa" w:w="3312"/>
            <w:vAlign w:val="top"/>
          </w:tcPr>
          <w:p>
            <w:r>
              <w:t>Salaried</w:t>
            </w:r>
          </w:p>
        </w:tc>
        <w:tc>
          <w:tcPr>
            <w:tcW w:type="dxa" w:w="3312"/>
            <w:vAlign w:val="top"/>
          </w:tcPr>
          <w:p>
            <w:r>
              <w:t>Customer with regular employment income</w:t>
            </w:r>
          </w:p>
        </w:tc>
        <w:tc>
          <w:tcPr>
            <w:tcW w:type="dxa" w:w="3312"/>
            <w:vAlign w:val="top"/>
          </w:tcPr>
          <w:p>
            <w:r>
              <w:t>Current/savings account, cards, personal financing</w:t>
            </w:r>
          </w:p>
        </w:tc>
      </w:tr>
      <w:tr>
        <w:tc>
          <w:tcPr>
            <w:tcW w:type="dxa" w:w="3312"/>
            <w:vAlign w:val="top"/>
          </w:tcPr>
          <w:p>
            <w:r>
              <w:t>Self-employed</w:t>
            </w:r>
          </w:p>
        </w:tc>
        <w:tc>
          <w:tcPr>
            <w:tcW w:type="dxa" w:w="3312"/>
            <w:vAlign w:val="top"/>
          </w:tcPr>
          <w:p>
            <w:r>
              <w:t>Customer earning from business or professional activity</w:t>
            </w:r>
          </w:p>
        </w:tc>
        <w:tc>
          <w:tcPr>
            <w:tcW w:type="dxa" w:w="3312"/>
            <w:vAlign w:val="top"/>
          </w:tcPr>
          <w:p>
            <w:r>
              <w:t>Current account, savings, financing</w:t>
            </w:r>
          </w:p>
        </w:tc>
      </w:tr>
      <w:tr>
        <w:tc>
          <w:tcPr>
            <w:tcW w:type="dxa" w:w="3312"/>
            <w:vAlign w:val="top"/>
          </w:tcPr>
          <w:p>
            <w:r>
              <w:t>Retail</w:t>
            </w:r>
          </w:p>
        </w:tc>
        <w:tc>
          <w:tcPr>
            <w:tcW w:type="dxa" w:w="3312"/>
            <w:vAlign w:val="top"/>
          </w:tcPr>
          <w:p>
            <w:r>
              <w:t>General individual customer</w:t>
            </w:r>
          </w:p>
        </w:tc>
        <w:tc>
          <w:tcPr>
            <w:tcW w:type="dxa" w:w="3312"/>
            <w:vAlign w:val="top"/>
          </w:tcPr>
          <w:p>
            <w:r>
              <w:t>Deposits, cards, transfers, financing</w:t>
            </w:r>
          </w:p>
        </w:tc>
      </w:tr>
      <w:tr>
        <w:tc>
          <w:tcPr>
            <w:tcW w:type="dxa" w:w="3312"/>
            <w:vAlign w:val="top"/>
          </w:tcPr>
          <w:p>
            <w:r>
              <w:t>Premium</w:t>
            </w:r>
          </w:p>
        </w:tc>
        <w:tc>
          <w:tcPr>
            <w:tcW w:type="dxa" w:w="3312"/>
            <w:vAlign w:val="top"/>
          </w:tcPr>
          <w:p>
            <w:r>
              <w:t>Customer meeting enhanced relationship criteria</w:t>
            </w:r>
          </w:p>
        </w:tc>
        <w:tc>
          <w:tcPr>
            <w:tcW w:type="dxa" w:w="3312"/>
            <w:vAlign w:val="top"/>
          </w:tcPr>
          <w:p>
            <w:r>
              <w:t>Enhanced limits and relationship services</w:t>
            </w:r>
          </w:p>
        </w:tc>
      </w:tr>
    </w:tbl>
    <w:p/>
    <w:p>
      <w:pPr>
        <w:pStyle w:val="Heading1"/>
      </w:pPr>
      <w:r>
        <w:t>2. Customer Onboarding and Know Your Customer</w:t>
      </w:r>
    </w:p>
    <w:p>
      <w:pPr>
        <w:pStyle w:val="Heading2"/>
      </w:pPr>
      <w:r>
        <w:t>2.1 Customer Identification</w:t>
      </w:r>
    </w:p>
    <w:p>
      <w:r>
        <w:t>Every customer relationship begins with identity verification. The bank collects sufficient information to establish the customer's identity, contact details, residence, employment or income where relevant, and expected use of the account.</w:t>
      </w:r>
    </w:p>
    <w:p>
      <w:pPr>
        <w:pStyle w:val="Heading2"/>
      </w:pPr>
      <w:r>
        <w:t>2.2 Standard Onboarding Information</w:t>
      </w:r>
    </w:p>
    <w:p>
      <w:pPr>
        <w:pStyle w:val="ListBullet"/>
      </w:pPr>
      <w:r>
        <w:t>Full legal name</w:t>
      </w:r>
    </w:p>
    <w:p>
      <w:pPr>
        <w:pStyle w:val="ListBullet"/>
      </w:pPr>
      <w:r>
        <w:t>Date of birth</w:t>
      </w:r>
    </w:p>
    <w:p>
      <w:pPr>
        <w:pStyle w:val="ListBullet"/>
      </w:pPr>
      <w:r>
        <w:t>Valid national identity document or approved identification</w:t>
      </w:r>
    </w:p>
    <w:p>
      <w:pPr>
        <w:pStyle w:val="ListBullet"/>
      </w:pPr>
      <w:r>
        <w:t>Mobile number</w:t>
      </w:r>
    </w:p>
    <w:p>
      <w:pPr>
        <w:pStyle w:val="ListBullet"/>
      </w:pPr>
      <w:r>
        <w:t>Email address where available</w:t>
      </w:r>
    </w:p>
    <w:p>
      <w:pPr>
        <w:pStyle w:val="ListBullet"/>
      </w:pPr>
      <w:r>
        <w:t>Residential address</w:t>
      </w:r>
    </w:p>
    <w:p>
      <w:pPr>
        <w:pStyle w:val="ListBullet"/>
      </w:pPr>
      <w:r>
        <w:t>Occupation or employment status</w:t>
      </w:r>
    </w:p>
    <w:p>
      <w:pPr>
        <w:pStyle w:val="ListBullet"/>
      </w:pPr>
      <w:r>
        <w:t>Source of income or funds where required</w:t>
      </w:r>
    </w:p>
    <w:p>
      <w:pPr>
        <w:pStyle w:val="ListBullet"/>
      </w:pPr>
      <w:r>
        <w:t>Expected transaction profile where required</w:t>
      </w:r>
    </w:p>
    <w:p>
      <w:pPr>
        <w:pStyle w:val="ListBullet"/>
      </w:pPr>
      <w:r>
        <w:t>Tax or regulatory information where applicable</w:t>
      </w:r>
    </w:p>
    <w:p>
      <w:pPr>
        <w:pStyle w:val="Heading2"/>
      </w:pPr>
      <w:r>
        <w:t>2.3 Enhanced Verification</w:t>
      </w:r>
    </w:p>
    <w:p>
      <w:r>
        <w:t>Additional verification may be required when the customer's profile, requested service, transaction pattern, ownership structure, source of funds, or risk indicators require enhanced review.</w:t>
      </w:r>
    </w:p>
    <w:p>
      <w:pPr>
        <w:pStyle w:val="ListBullet"/>
      </w:pPr>
      <w:r>
        <w:t>Unusually high transaction expectations</w:t>
      </w:r>
    </w:p>
    <w:p>
      <w:pPr>
        <w:pStyle w:val="ListBullet"/>
      </w:pPr>
      <w:r>
        <w:t>Complex ownership or beneficiary arrangements</w:t>
      </w:r>
    </w:p>
    <w:p>
      <w:pPr>
        <w:pStyle w:val="ListBullet"/>
      </w:pPr>
      <w:r>
        <w:t>Unclear source of funds</w:t>
      </w:r>
    </w:p>
    <w:p>
      <w:pPr>
        <w:pStyle w:val="ListBullet"/>
      </w:pPr>
      <w:r>
        <w:t>Material changes in customer profile</w:t>
      </w:r>
    </w:p>
    <w:p>
      <w:pPr>
        <w:pStyle w:val="ListBullet"/>
      </w:pPr>
      <w:r>
        <w:t>High-risk transaction patterns</w:t>
      </w:r>
    </w:p>
    <w:p>
      <w:pPr>
        <w:pStyle w:val="ListBullet"/>
      </w:pPr>
      <w:r>
        <w:t>Repeated failed verification attempts</w:t>
      </w:r>
    </w:p>
    <w:p>
      <w:pPr>
        <w:pStyle w:val="ListBullet"/>
      </w:pPr>
      <w:r>
        <w:t>Information inconsistencies between submitted documents</w:t>
      </w:r>
    </w:p>
    <w:p>
      <w:pPr>
        <w:pStyle w:val="Heading2"/>
      </w:pPr>
      <w:r>
        <w:t>2.4 KYC Statuses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Status</w:t>
            </w:r>
          </w:p>
        </w:tc>
        <w:tc>
          <w:tcPr>
            <w:tcW w:type="dxa" w:w="3312"/>
          </w:tcPr>
          <w:p>
            <w:r>
              <w:rPr>
                <w:b/>
              </w:rPr>
              <w:t>Meaning</w:t>
            </w:r>
          </w:p>
        </w:tc>
        <w:tc>
          <w:tcPr>
            <w:tcW w:type="dxa" w:w="3312"/>
          </w:tcPr>
          <w:p>
            <w:r>
              <w:rPr>
                <w:b/>
              </w:rPr>
              <w:t>AI Handling</w:t>
            </w:r>
          </w:p>
        </w:tc>
      </w:tr>
      <w:tr>
        <w:tc>
          <w:tcPr>
            <w:tcW w:type="dxa" w:w="3312"/>
            <w:vAlign w:val="top"/>
          </w:tcPr>
          <w:p>
            <w:r>
              <w:t>Pending</w:t>
            </w:r>
          </w:p>
        </w:tc>
        <w:tc>
          <w:tcPr>
            <w:tcW w:type="dxa" w:w="3312"/>
            <w:vAlign w:val="top"/>
          </w:tcPr>
          <w:p>
            <w:r>
              <w:t>Required verification has not been completed.</w:t>
            </w:r>
          </w:p>
        </w:tc>
        <w:tc>
          <w:tcPr>
            <w:tcW w:type="dxa" w:w="3312"/>
            <w:vAlign w:val="top"/>
          </w:tcPr>
          <w:p>
            <w:r>
              <w:t>Do not imply that full access is available.</w:t>
            </w:r>
          </w:p>
        </w:tc>
      </w:tr>
      <w:tr>
        <w:tc>
          <w:tcPr>
            <w:tcW w:type="dxa" w:w="3312"/>
            <w:vAlign w:val="top"/>
          </w:tcPr>
          <w:p>
            <w:r>
              <w:t>Verified</w:t>
            </w:r>
          </w:p>
        </w:tc>
        <w:tc>
          <w:tcPr>
            <w:tcW w:type="dxa" w:w="3312"/>
            <w:vAlign w:val="top"/>
          </w:tcPr>
          <w:p>
            <w:r>
              <w:t>Required identity checks have passed.</w:t>
            </w:r>
          </w:p>
        </w:tc>
        <w:tc>
          <w:tcPr>
            <w:tcW w:type="dxa" w:w="3312"/>
            <w:vAlign w:val="top"/>
          </w:tcPr>
          <w:p>
            <w:r>
              <w:t>Normal authorized services may proceed.</w:t>
            </w:r>
          </w:p>
        </w:tc>
      </w:tr>
      <w:tr>
        <w:tc>
          <w:tcPr>
            <w:tcW w:type="dxa" w:w="3312"/>
            <w:vAlign w:val="top"/>
          </w:tcPr>
          <w:p>
            <w:r>
              <w:t>Restricted</w:t>
            </w:r>
          </w:p>
        </w:tc>
        <w:tc>
          <w:tcPr>
            <w:tcW w:type="dxa" w:w="3312"/>
            <w:vAlign w:val="top"/>
          </w:tcPr>
          <w:p>
            <w:r>
              <w:t>Some services are limited pending review.</w:t>
            </w:r>
          </w:p>
        </w:tc>
        <w:tc>
          <w:tcPr>
            <w:tcW w:type="dxa" w:w="3312"/>
            <w:vAlign w:val="top"/>
          </w:tcPr>
          <w:p>
            <w:r>
              <w:t>Do not advise the customer to bypass restrictions.</w:t>
            </w:r>
          </w:p>
        </w:tc>
      </w:tr>
      <w:tr>
        <w:tc>
          <w:tcPr>
            <w:tcW w:type="dxa" w:w="3312"/>
            <w:vAlign w:val="top"/>
          </w:tcPr>
          <w:p>
            <w:r>
              <w:t>Under Review</w:t>
            </w:r>
          </w:p>
        </w:tc>
        <w:tc>
          <w:tcPr>
            <w:tcW w:type="dxa" w:w="3312"/>
            <w:vAlign w:val="top"/>
          </w:tcPr>
          <w:p>
            <w:r>
              <w:t>Additional investigation or verification is in progress.</w:t>
            </w:r>
          </w:p>
        </w:tc>
        <w:tc>
          <w:tcPr>
            <w:tcW w:type="dxa" w:w="3312"/>
            <w:vAlign w:val="top"/>
          </w:tcPr>
          <w:p>
            <w:r>
              <w:t>Escalate when customer-specific action is requested.</w:t>
            </w:r>
          </w:p>
        </w:tc>
      </w:tr>
      <w:tr>
        <w:tc>
          <w:tcPr>
            <w:tcW w:type="dxa" w:w="3312"/>
            <w:vAlign w:val="top"/>
          </w:tcPr>
          <w:p>
            <w:r>
              <w:t>Closed</w:t>
            </w:r>
          </w:p>
        </w:tc>
        <w:tc>
          <w:tcPr>
            <w:tcW w:type="dxa" w:w="3312"/>
            <w:vAlign w:val="top"/>
          </w:tcPr>
          <w:p>
            <w:r>
              <w:t>Customer relationship is no longer active.</w:t>
            </w:r>
          </w:p>
        </w:tc>
        <w:tc>
          <w:tcPr>
            <w:tcW w:type="dxa" w:w="3312"/>
            <w:vAlign w:val="top"/>
          </w:tcPr>
          <w:p>
            <w:r>
              <w:t>Do not represent the account as active.</w:t>
            </w:r>
          </w:p>
        </w:tc>
      </w:tr>
    </w:tbl>
    <w:p/>
    <w:p>
      <w:pPr>
        <w:pStyle w:val="Heading1"/>
      </w:pPr>
      <w:r>
        <w:t>3. Deposit Accounts</w:t>
      </w:r>
    </w:p>
    <w:p>
      <w:pPr>
        <w:pStyle w:val="Heading2"/>
      </w:pPr>
      <w:r>
        <w:t>3.1 Nexa Current Account</w:t>
      </w:r>
    </w:p>
    <w:p>
      <w:r>
        <w:t>The Nexa Current Account is designed for customers requiring frequent deposits, withdrawals, payments, and transfers.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Prototype Policy</w:t>
            </w:r>
          </w:p>
        </w:tc>
      </w:tr>
      <w:tr>
        <w:tc>
          <w:tcPr>
            <w:tcW w:type="dxa" w:w="4968"/>
            <w:vAlign w:val="top"/>
          </w:tcPr>
          <w:p>
            <w:r>
              <w:t>Minimum opening deposit</w:t>
            </w:r>
          </w:p>
        </w:tc>
        <w:tc>
          <w:tcPr>
            <w:tcW w:type="dxa" w:w="4968"/>
            <w:vAlign w:val="top"/>
          </w:tcPr>
          <w:p>
            <w:r>
              <w:t>PKR 5,000</w:t>
            </w:r>
          </w:p>
        </w:tc>
      </w:tr>
      <w:tr>
        <w:tc>
          <w:tcPr>
            <w:tcW w:type="dxa" w:w="4968"/>
            <w:vAlign w:val="top"/>
          </w:tcPr>
          <w:p>
            <w:r>
              <w:t>Minimum balance</w:t>
            </w:r>
          </w:p>
        </w:tc>
        <w:tc>
          <w:tcPr>
            <w:tcW w:type="dxa" w:w="4968"/>
            <w:vAlign w:val="top"/>
          </w:tcPr>
          <w:p>
            <w:r>
              <w:t>PKR 1,000</w:t>
            </w:r>
          </w:p>
        </w:tc>
      </w:tr>
      <w:tr>
        <w:tc>
          <w:tcPr>
            <w:tcW w:type="dxa" w:w="4968"/>
            <w:vAlign w:val="top"/>
          </w:tcPr>
          <w:p>
            <w:r>
              <w:t>Monthly maintenance fee</w:t>
            </w:r>
          </w:p>
        </w:tc>
        <w:tc>
          <w:tcPr>
            <w:tcW w:type="dxa" w:w="4968"/>
            <w:vAlign w:val="top"/>
          </w:tcPr>
          <w:p>
            <w:r>
              <w:t>PKR 250</w:t>
            </w:r>
          </w:p>
        </w:tc>
      </w:tr>
      <w:tr>
        <w:tc>
          <w:tcPr>
            <w:tcW w:type="dxa" w:w="4968"/>
            <w:vAlign w:val="top"/>
          </w:tcPr>
          <w:p>
            <w:r>
              <w:t>Fee waiver threshold</w:t>
            </w:r>
          </w:p>
        </w:tc>
        <w:tc>
          <w:tcPr>
            <w:tcW w:type="dxa" w:w="4968"/>
            <w:vAlign w:val="top"/>
          </w:tcPr>
          <w:p>
            <w:r>
              <w:t>Average monthly balance of PKR 50,000 or more</w:t>
            </w:r>
          </w:p>
        </w:tc>
      </w:tr>
      <w:tr>
        <w:tc>
          <w:tcPr>
            <w:tcW w:type="dxa" w:w="4968"/>
            <w:vAlign w:val="top"/>
          </w:tcPr>
          <w:p>
            <w:r>
              <w:t>Debit card</w:t>
            </w:r>
          </w:p>
        </w:tc>
        <w:tc>
          <w:tcPr>
            <w:tcW w:type="dxa" w:w="4968"/>
            <w:vAlign w:val="top"/>
          </w:tcPr>
          <w:p>
            <w:r>
              <w:t>Available</w:t>
            </w:r>
          </w:p>
        </w:tc>
      </w:tr>
      <w:tr>
        <w:tc>
          <w:tcPr>
            <w:tcW w:type="dxa" w:w="4968"/>
            <w:vAlign w:val="top"/>
          </w:tcPr>
          <w:p>
            <w:r>
              <w:t>Mobile banking</w:t>
            </w:r>
          </w:p>
        </w:tc>
        <w:tc>
          <w:tcPr>
            <w:tcW w:type="dxa" w:w="4968"/>
            <w:vAlign w:val="top"/>
          </w:tcPr>
          <w:p>
            <w:r>
              <w:t>Available</w:t>
            </w:r>
          </w:p>
        </w:tc>
      </w:tr>
      <w:tr>
        <w:tc>
          <w:tcPr>
            <w:tcW w:type="dxa" w:w="4968"/>
            <w:vAlign w:val="top"/>
          </w:tcPr>
          <w:p>
            <w:r>
              <w:t>Internet banking</w:t>
            </w:r>
          </w:p>
        </w:tc>
        <w:tc>
          <w:tcPr>
            <w:tcW w:type="dxa" w:w="4968"/>
            <w:vAlign w:val="top"/>
          </w:tcPr>
          <w:p>
            <w:r>
              <w:t>Available</w:t>
            </w:r>
          </w:p>
        </w:tc>
      </w:tr>
      <w:tr>
        <w:tc>
          <w:tcPr>
            <w:tcW w:type="dxa" w:w="4968"/>
            <w:vAlign w:val="top"/>
          </w:tcPr>
          <w:p>
            <w:r>
              <w:t>Domestic transfers</w:t>
            </w:r>
          </w:p>
        </w:tc>
        <w:tc>
          <w:tcPr>
            <w:tcW w:type="dxa" w:w="4968"/>
            <w:vAlign w:val="top"/>
          </w:tcPr>
          <w:p>
            <w:r>
              <w:t>Available</w:t>
            </w:r>
          </w:p>
        </w:tc>
      </w:tr>
    </w:tbl>
    <w:p/>
    <w:p>
      <w:pPr>
        <w:pStyle w:val="Heading2"/>
      </w:pPr>
      <w:r>
        <w:t>3.2 Nexa Savings Account</w:t>
      </w:r>
    </w:p>
    <w:p>
      <w:r>
        <w:t>The Nexa Savings Account is intended for customers who wish to hold savings and earn a return according to the applicable product rate.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Prototype Policy</w:t>
            </w:r>
          </w:p>
        </w:tc>
      </w:tr>
      <w:tr>
        <w:tc>
          <w:tcPr>
            <w:tcW w:type="dxa" w:w="4968"/>
            <w:vAlign w:val="top"/>
          </w:tcPr>
          <w:p>
            <w:r>
              <w:t>Minimum opening deposit</w:t>
            </w:r>
          </w:p>
        </w:tc>
        <w:tc>
          <w:tcPr>
            <w:tcW w:type="dxa" w:w="4968"/>
            <w:vAlign w:val="top"/>
          </w:tcPr>
          <w:p>
            <w:r>
              <w:t>PKR 10,000</w:t>
            </w:r>
          </w:p>
        </w:tc>
      </w:tr>
      <w:tr>
        <w:tc>
          <w:tcPr>
            <w:tcW w:type="dxa" w:w="4968"/>
            <w:vAlign w:val="top"/>
          </w:tcPr>
          <w:p>
            <w:r>
              <w:t>Minimum balance</w:t>
            </w:r>
          </w:p>
        </w:tc>
        <w:tc>
          <w:tcPr>
            <w:tcW w:type="dxa" w:w="4968"/>
            <w:vAlign w:val="top"/>
          </w:tcPr>
          <w:p>
            <w:r>
              <w:t>PKR 5,000</w:t>
            </w:r>
          </w:p>
        </w:tc>
      </w:tr>
      <w:tr>
        <w:tc>
          <w:tcPr>
            <w:tcW w:type="dxa" w:w="4968"/>
            <w:vAlign w:val="top"/>
          </w:tcPr>
          <w:p>
            <w:r>
              <w:t>Monthly maintenance fee</w:t>
            </w:r>
          </w:p>
        </w:tc>
        <w:tc>
          <w:tcPr>
            <w:tcW w:type="dxa" w:w="4968"/>
            <w:vAlign w:val="top"/>
          </w:tcPr>
          <w:p>
            <w:r>
              <w:t>PKR 150</w:t>
            </w:r>
          </w:p>
        </w:tc>
      </w:tr>
      <w:tr>
        <w:tc>
          <w:tcPr>
            <w:tcW w:type="dxa" w:w="4968"/>
            <w:vAlign w:val="top"/>
          </w:tcPr>
          <w:p>
            <w:r>
              <w:t>Fee waiver threshold</w:t>
            </w:r>
          </w:p>
        </w:tc>
        <w:tc>
          <w:tcPr>
            <w:tcW w:type="dxa" w:w="4968"/>
            <w:vAlign w:val="top"/>
          </w:tcPr>
          <w:p>
            <w:r>
              <w:t>Average monthly balance above PKR 25,000</w:t>
            </w:r>
          </w:p>
        </w:tc>
      </w:tr>
      <w:tr>
        <w:tc>
          <w:tcPr>
            <w:tcW w:type="dxa" w:w="4968"/>
            <w:vAlign w:val="top"/>
          </w:tcPr>
          <w:p>
            <w:r>
              <w:t>Illustrative annual rate</w:t>
            </w:r>
          </w:p>
        </w:tc>
        <w:tc>
          <w:tcPr>
            <w:tcW w:type="dxa" w:w="4968"/>
            <w:vAlign w:val="top"/>
          </w:tcPr>
          <w:p>
            <w:r>
              <w:t>7.5%</w:t>
            </w:r>
          </w:p>
        </w:tc>
      </w:tr>
      <w:tr>
        <w:tc>
          <w:tcPr>
            <w:tcW w:type="dxa" w:w="4968"/>
            <w:vAlign w:val="top"/>
          </w:tcPr>
          <w:p>
            <w:r>
              <w:t>Digital banking</w:t>
            </w:r>
          </w:p>
        </w:tc>
        <w:tc>
          <w:tcPr>
            <w:tcW w:type="dxa" w:w="4968"/>
            <w:vAlign w:val="top"/>
          </w:tcPr>
          <w:p>
            <w:r>
              <w:t>Available</w:t>
            </w:r>
          </w:p>
        </w:tc>
      </w:tr>
    </w:tbl>
    <w:p/>
    <w:p>
      <w:r>
        <w:t>The illustrative savings rate is synthetic and may change. The AI must not present it as a live rate unless a current rate source is connected.</w:t>
      </w:r>
    </w:p>
    <w:p>
      <w:pPr>
        <w:pStyle w:val="Heading2"/>
      </w:pPr>
      <w:r>
        <w:t>3.3 Nexa Student Account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Prototype Policy</w:t>
            </w:r>
          </w:p>
        </w:tc>
      </w:tr>
      <w:tr>
        <w:tc>
          <w:tcPr>
            <w:tcW w:type="dxa" w:w="4968"/>
            <w:vAlign w:val="top"/>
          </w:tcPr>
          <w:p>
            <w:r>
              <w:t>Age</w:t>
            </w:r>
          </w:p>
        </w:tc>
        <w:tc>
          <w:tcPr>
            <w:tcW w:type="dxa" w:w="4968"/>
            <w:vAlign w:val="top"/>
          </w:tcPr>
          <w:p>
            <w:r>
              <w:t>18 to 28 years</w:t>
            </w:r>
          </w:p>
        </w:tc>
      </w:tr>
      <w:tr>
        <w:tc>
          <w:tcPr>
            <w:tcW w:type="dxa" w:w="4968"/>
            <w:vAlign w:val="top"/>
          </w:tcPr>
          <w:p>
            <w:r>
              <w:t>Student status</w:t>
            </w:r>
          </w:p>
        </w:tc>
        <w:tc>
          <w:tcPr>
            <w:tcW w:type="dxa" w:w="4968"/>
            <w:vAlign w:val="top"/>
          </w:tcPr>
          <w:p>
            <w:r>
              <w:t>Required</w:t>
            </w:r>
          </w:p>
        </w:tc>
      </w:tr>
      <w:tr>
        <w:tc>
          <w:tcPr>
            <w:tcW w:type="dxa" w:w="4968"/>
            <w:vAlign w:val="top"/>
          </w:tcPr>
          <w:p>
            <w:r>
              <w:t>Minimum opening deposit</w:t>
            </w:r>
          </w:p>
        </w:tc>
        <w:tc>
          <w:tcPr>
            <w:tcW w:type="dxa" w:w="4968"/>
            <w:vAlign w:val="top"/>
          </w:tcPr>
          <w:p>
            <w:r>
              <w:t>PKR 1,000</w:t>
            </w:r>
          </w:p>
        </w:tc>
      </w:tr>
      <w:tr>
        <w:tc>
          <w:tcPr>
            <w:tcW w:type="dxa" w:w="4968"/>
            <w:vAlign w:val="top"/>
          </w:tcPr>
          <w:p>
            <w:r>
              <w:t>Minimum balance</w:t>
            </w:r>
          </w:p>
        </w:tc>
        <w:tc>
          <w:tcPr>
            <w:tcW w:type="dxa" w:w="4968"/>
            <w:vAlign w:val="top"/>
          </w:tcPr>
          <w:p>
            <w:r>
              <w:t>None</w:t>
            </w:r>
          </w:p>
        </w:tc>
      </w:tr>
      <w:tr>
        <w:tc>
          <w:tcPr>
            <w:tcW w:type="dxa" w:w="4968"/>
            <w:vAlign w:val="top"/>
          </w:tcPr>
          <w:p>
            <w:r>
              <w:t>Monthly maintenance fee</w:t>
            </w:r>
          </w:p>
        </w:tc>
        <w:tc>
          <w:tcPr>
            <w:tcW w:type="dxa" w:w="4968"/>
            <w:vAlign w:val="top"/>
          </w:tcPr>
          <w:p>
            <w:r>
              <w:t>None</w:t>
            </w:r>
          </w:p>
        </w:tc>
      </w:tr>
      <w:tr>
        <w:tc>
          <w:tcPr>
            <w:tcW w:type="dxa" w:w="4968"/>
            <w:vAlign w:val="top"/>
          </w:tcPr>
          <w:p>
            <w:r>
              <w:t>Debit card</w:t>
            </w:r>
          </w:p>
        </w:tc>
        <w:tc>
          <w:tcPr>
            <w:tcW w:type="dxa" w:w="4968"/>
            <w:vAlign w:val="top"/>
          </w:tcPr>
          <w:p>
            <w:r>
              <w:t>Available</w:t>
            </w:r>
          </w:p>
        </w:tc>
      </w:tr>
      <w:tr>
        <w:tc>
          <w:tcPr>
            <w:tcW w:type="dxa" w:w="4968"/>
            <w:vAlign w:val="top"/>
          </w:tcPr>
          <w:p>
            <w:r>
              <w:t>Digital banking</w:t>
            </w:r>
          </w:p>
        </w:tc>
        <w:tc>
          <w:tcPr>
            <w:tcW w:type="dxa" w:w="4968"/>
            <w:vAlign w:val="top"/>
          </w:tcPr>
          <w:p>
            <w:r>
              <w:t>Available</w:t>
            </w:r>
          </w:p>
        </w:tc>
      </w:tr>
      <w:tr>
        <w:tc>
          <w:tcPr>
            <w:tcW w:type="dxa" w:w="4968"/>
            <w:vAlign w:val="top"/>
          </w:tcPr>
          <w:p>
            <w:r>
              <w:t>Reduced ATM charges</w:t>
            </w:r>
          </w:p>
        </w:tc>
        <w:tc>
          <w:tcPr>
            <w:tcW w:type="dxa" w:w="4968"/>
            <w:vAlign w:val="top"/>
          </w:tcPr>
          <w:p>
            <w:r>
              <w:t>Available</w:t>
            </w:r>
          </w:p>
        </w:tc>
      </w:tr>
    </w:tbl>
    <w:p/>
    <w:p>
      <w:pPr>
        <w:pStyle w:val="Heading2"/>
      </w:pPr>
      <w:r>
        <w:t>3.4 Account Opening Procedure</w:t>
      </w:r>
    </w:p>
    <w:p>
      <w:pPr>
        <w:pStyle w:val="ListNumber"/>
      </w:pPr>
      <w:r>
        <w:t>Collect customer identity information.</w:t>
      </w:r>
    </w:p>
    <w:p>
      <w:pPr>
        <w:pStyle w:val="ListNumber"/>
      </w:pPr>
      <w:r>
        <w:t>Verify identity documentation.</w:t>
      </w:r>
    </w:p>
    <w:p>
      <w:pPr>
        <w:pStyle w:val="ListNumber"/>
      </w:pPr>
      <w:r>
        <w:t>Collect required contact and address information.</w:t>
      </w:r>
    </w:p>
    <w:p>
      <w:pPr>
        <w:pStyle w:val="ListNumber"/>
      </w:pPr>
      <w:r>
        <w:t>Collect employment, student, or income information when required.</w:t>
      </w:r>
    </w:p>
    <w:p>
      <w:pPr>
        <w:pStyle w:val="ListNumber"/>
      </w:pPr>
      <w:r>
        <w:t>Perform required compliance and risk checks.</w:t>
      </w:r>
    </w:p>
    <w:p>
      <w:pPr>
        <w:pStyle w:val="ListNumber"/>
      </w:pPr>
      <w:r>
        <w:t>Select an eligible account product.</w:t>
      </w:r>
    </w:p>
    <w:p>
      <w:pPr>
        <w:pStyle w:val="ListNumber"/>
      </w:pPr>
      <w:r>
        <w:t>Complete account creation through the authorized banking system.</w:t>
      </w:r>
    </w:p>
    <w:p>
      <w:pPr>
        <w:pStyle w:val="ListNumber"/>
      </w:pPr>
      <w:r>
        <w:t>Provide the customer with account and service information.</w:t>
      </w:r>
    </w:p>
    <w:p>
      <w:pPr>
        <w:pStyle w:val="Heading1"/>
      </w:pPr>
      <w:r>
        <w:t>4. Cards and Card Services</w:t>
      </w:r>
    </w:p>
    <w:p>
      <w:pPr>
        <w:pStyle w:val="Heading2"/>
      </w:pPr>
      <w:r>
        <w:t>4.1 Debit Card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Limit / Service</w:t>
            </w:r>
          </w:p>
        </w:tc>
        <w:tc>
          <w:tcPr>
            <w:tcW w:type="dxa" w:w="4968"/>
          </w:tcPr>
          <w:p>
            <w:r>
              <w:rPr>
                <w:b/>
              </w:rPr>
              <w:t>Standard Prototype Limit</w:t>
            </w:r>
          </w:p>
        </w:tc>
      </w:tr>
      <w:tr>
        <w:tc>
          <w:tcPr>
            <w:tcW w:type="dxa" w:w="4968"/>
            <w:vAlign w:val="top"/>
          </w:tcPr>
          <w:p>
            <w:r>
              <w:t>Daily ATM withdrawal</w:t>
            </w:r>
          </w:p>
        </w:tc>
        <w:tc>
          <w:tcPr>
            <w:tcW w:type="dxa" w:w="4968"/>
            <w:vAlign w:val="top"/>
          </w:tcPr>
          <w:p>
            <w:r>
              <w:t>PKR 100,000</w:t>
            </w:r>
          </w:p>
        </w:tc>
      </w:tr>
      <w:tr>
        <w:tc>
          <w:tcPr>
            <w:tcW w:type="dxa" w:w="4968"/>
            <w:vAlign w:val="top"/>
          </w:tcPr>
          <w:p>
            <w:r>
              <w:t>Daily merchant transaction</w:t>
            </w:r>
          </w:p>
        </w:tc>
        <w:tc>
          <w:tcPr>
            <w:tcW w:type="dxa" w:w="4968"/>
            <w:vAlign w:val="top"/>
          </w:tcPr>
          <w:p>
            <w:r>
              <w:t>PKR 300,000</w:t>
            </w:r>
          </w:p>
        </w:tc>
      </w:tr>
      <w:tr>
        <w:tc>
          <w:tcPr>
            <w:tcW w:type="dxa" w:w="4968"/>
            <w:vAlign w:val="top"/>
          </w:tcPr>
          <w:p>
            <w:r>
              <w:t>NexaBank ATM fee</w:t>
            </w:r>
          </w:p>
        </w:tc>
        <w:tc>
          <w:tcPr>
            <w:tcW w:type="dxa" w:w="4968"/>
            <w:vAlign w:val="top"/>
          </w:tcPr>
          <w:p>
            <w:r>
              <w:t>Free</w:t>
            </w:r>
          </w:p>
        </w:tc>
      </w:tr>
      <w:tr>
        <w:tc>
          <w:tcPr>
            <w:tcW w:type="dxa" w:w="4968"/>
            <w:vAlign w:val="top"/>
          </w:tcPr>
          <w:p>
            <w:r>
              <w:t>Other bank ATM fee</w:t>
            </w:r>
          </w:p>
        </w:tc>
        <w:tc>
          <w:tcPr>
            <w:tcW w:type="dxa" w:w="4968"/>
            <w:vAlign w:val="top"/>
          </w:tcPr>
          <w:p>
            <w:r>
              <w:t>PKR 35 per transaction</w:t>
            </w:r>
          </w:p>
        </w:tc>
      </w:tr>
      <w:tr>
        <w:tc>
          <w:tcPr>
            <w:tcW w:type="dxa" w:w="4968"/>
            <w:vAlign w:val="top"/>
          </w:tcPr>
          <w:p>
            <w:r>
              <w:t>Contactless payments</w:t>
            </w:r>
          </w:p>
        </w:tc>
        <w:tc>
          <w:tcPr>
            <w:tcW w:type="dxa" w:w="4968"/>
            <w:vAlign w:val="top"/>
          </w:tcPr>
          <w:p>
            <w:r>
              <w:t>Supported</w:t>
            </w:r>
          </w:p>
        </w:tc>
      </w:tr>
      <w:tr>
        <w:tc>
          <w:tcPr>
            <w:tcW w:type="dxa" w:w="4968"/>
            <w:vAlign w:val="top"/>
          </w:tcPr>
          <w:p>
            <w:r>
              <w:t>Online purchases</w:t>
            </w:r>
          </w:p>
        </w:tc>
        <w:tc>
          <w:tcPr>
            <w:tcW w:type="dxa" w:w="4968"/>
            <w:vAlign w:val="top"/>
          </w:tcPr>
          <w:p>
            <w:r>
              <w:t>Supported</w:t>
            </w:r>
          </w:p>
        </w:tc>
      </w:tr>
    </w:tbl>
    <w:p/>
    <w:p>
      <w:pPr>
        <w:pStyle w:val="Heading2"/>
      </w:pPr>
      <w:r>
        <w:t>4.2 Lost or Stolen Card</w:t>
      </w:r>
    </w:p>
    <w:p>
      <w:pPr>
        <w:pStyle w:val="ListNumber"/>
      </w:pPr>
      <w:r>
        <w:t>Freeze the card through the official mobile banking channel if available.</w:t>
      </w:r>
    </w:p>
    <w:p>
      <w:pPr>
        <w:pStyle w:val="ListNumber"/>
      </w:pPr>
      <w:r>
        <w:t>Contact the bank immediately.</w:t>
      </w:r>
    </w:p>
    <w:p>
      <w:pPr>
        <w:pStyle w:val="ListNumber"/>
      </w:pPr>
      <w:r>
        <w:t>If unauthorized activity is suspected, contact the 24-hour fraud hotline.</w:t>
      </w:r>
    </w:p>
    <w:p>
      <w:pPr>
        <w:pStyle w:val="ListNumber"/>
      </w:pPr>
      <w:r>
        <w:t>Review recent transactions.</w:t>
      </w:r>
    </w:p>
    <w:p>
      <w:pPr>
        <w:pStyle w:val="ListNumber"/>
      </w:pPr>
      <w:r>
        <w:t>Follow replacement and identity-verification procedures.</w:t>
      </w:r>
    </w:p>
    <w:p>
      <w:pPr>
        <w:pStyle w:val="Heading2"/>
      </w:pPr>
      <w:r>
        <w:t>4.3 Credit Cards</w:t>
      </w:r>
    </w:p>
    <w:p>
      <w:r>
        <w:t>Credit card eligibility is determined by customer age, income, credit history, existing obligations, employment status, and internal risk assessment. Credit limits are assigned according to the approved credit profile.</w:t>
      </w:r>
    </w:p>
    <w:p>
      <w:r>
        <w:t>Customers should pay at least the minimum amount shown on their statement by the payment due date. Paying only the minimum may result in finance charges according to applicable card terms.</w:t>
      </w:r>
    </w:p>
    <w:p>
      <w:pPr>
        <w:pStyle w:val="Heading1"/>
      </w:pPr>
      <w:r>
        <w:t>5. Digital Banking</w:t>
      </w:r>
    </w:p>
    <w:p>
      <w:pPr>
        <w:pStyle w:val="Heading2"/>
      </w:pPr>
      <w:r>
        <w:t>5.1 Mobile and Internet Banking</w:t>
      </w:r>
    </w:p>
    <w:p>
      <w:pPr>
        <w:pStyle w:val="ListBullet"/>
      </w:pPr>
      <w:r>
        <w:t>View account information</w:t>
      </w:r>
    </w:p>
    <w:p>
      <w:pPr>
        <w:pStyle w:val="ListBullet"/>
      </w:pPr>
      <w:r>
        <w:t>View transaction history</w:t>
      </w:r>
    </w:p>
    <w:p>
      <w:pPr>
        <w:pStyle w:val="ListBullet"/>
      </w:pPr>
      <w:r>
        <w:t>Transfer funds</w:t>
      </w:r>
    </w:p>
    <w:p>
      <w:pPr>
        <w:pStyle w:val="ListBullet"/>
      </w:pPr>
      <w:r>
        <w:t>Pay supported bills</w:t>
      </w:r>
    </w:p>
    <w:p>
      <w:pPr>
        <w:pStyle w:val="ListBullet"/>
      </w:pPr>
      <w:r>
        <w:t>Manage cards</w:t>
      </w:r>
    </w:p>
    <w:p>
      <w:pPr>
        <w:pStyle w:val="ListBullet"/>
      </w:pPr>
      <w:r>
        <w:t>Receive transaction notifications</w:t>
      </w:r>
    </w:p>
    <w:p>
      <w:pPr>
        <w:pStyle w:val="ListBullet"/>
      </w:pPr>
      <w:r>
        <w:t>Review statements</w:t>
      </w:r>
    </w:p>
    <w:p>
      <w:pPr>
        <w:pStyle w:val="Heading2"/>
      </w:pPr>
      <w:r>
        <w:t>5.2 Authentication</w:t>
      </w:r>
    </w:p>
    <w:p>
      <w:r>
        <w:t>Protected banking services may require login credentials, one-time passwords, multi-factor authentication, device verification, or other approved security controls.</w:t>
      </w:r>
    </w:p>
    <w:p>
      <w:r>
        <w:t>A customer must never disclose a password, PIN, or OTP to another person. Bank employees and AI systems must not request a customer's complete authentication secret.</w:t>
      </w:r>
    </w:p>
    <w:p>
      <w:pPr>
        <w:pStyle w:val="Heading1"/>
      </w:pPr>
      <w:r>
        <w:t>6. Payments and Transfers</w:t>
      </w:r>
    </w:p>
    <w:p>
      <w:pPr>
        <w:pStyle w:val="Heading2"/>
      </w:pPr>
      <w:r>
        <w:t>6.1 Domestic Transfers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Prototype Policy</w:t>
            </w:r>
          </w:p>
        </w:tc>
      </w:tr>
      <w:tr>
        <w:tc>
          <w:tcPr>
            <w:tcW w:type="dxa" w:w="4968"/>
            <w:vAlign w:val="top"/>
          </w:tcPr>
          <w:p>
            <w:r>
              <w:t>Standard digital daily limit</w:t>
            </w:r>
          </w:p>
        </w:tc>
        <w:tc>
          <w:tcPr>
            <w:tcW w:type="dxa" w:w="4968"/>
            <w:vAlign w:val="top"/>
          </w:tcPr>
          <w:p>
            <w:r>
              <w:t>PKR 500,000</w:t>
            </w:r>
          </w:p>
        </w:tc>
      </w:tr>
      <w:tr>
        <w:tc>
          <w:tcPr>
            <w:tcW w:type="dxa" w:w="4968"/>
            <w:vAlign w:val="top"/>
          </w:tcPr>
          <w:p>
            <w:r>
              <w:t>Enhanced limit</w:t>
            </w:r>
          </w:p>
        </w:tc>
        <w:tc>
          <w:tcPr>
            <w:tcW w:type="dxa" w:w="4968"/>
            <w:vAlign w:val="top"/>
          </w:tcPr>
          <w:p>
            <w:r>
              <w:t>May be requested by eligible customers after verification</w:t>
            </w:r>
          </w:p>
        </w:tc>
      </w:tr>
      <w:tr>
        <w:tc>
          <w:tcPr>
            <w:tcW w:type="dxa" w:w="4968"/>
            <w:vAlign w:val="top"/>
          </w:tcPr>
          <w:p>
            <w:r>
              <w:t>Required recipient information</w:t>
            </w:r>
          </w:p>
        </w:tc>
        <w:tc>
          <w:tcPr>
            <w:tcW w:type="dxa" w:w="4968"/>
            <w:vAlign w:val="top"/>
          </w:tcPr>
          <w:p>
            <w:r>
              <w:t>Recipient name, account/IBAN, bank, amount</w:t>
            </w:r>
          </w:p>
        </w:tc>
      </w:tr>
      <w:tr>
        <w:tc>
          <w:tcPr>
            <w:tcW w:type="dxa" w:w="4968"/>
            <w:vAlign w:val="top"/>
          </w:tcPr>
          <w:p>
            <w:r>
              <w:t>Security</w:t>
            </w:r>
          </w:p>
        </w:tc>
        <w:tc>
          <w:tcPr>
            <w:tcW w:type="dxa" w:w="4968"/>
            <w:vAlign w:val="top"/>
          </w:tcPr>
          <w:p>
            <w:r>
              <w:t>Additional authentication may apply</w:t>
            </w:r>
          </w:p>
        </w:tc>
      </w:tr>
    </w:tbl>
    <w:p/>
    <w:p>
      <w:r>
        <w:t>Customers should verify beneficiary details before confirming a transfer. A transfer should not be treated as reversible simply because the customer entered an incorrect beneficiary.</w:t>
      </w:r>
    </w:p>
    <w:p>
      <w:pPr>
        <w:pStyle w:val="Heading2"/>
      </w:pPr>
      <w:r>
        <w:t>6.2 International Transfers</w:t>
      </w:r>
    </w:p>
    <w:p>
      <w:pPr>
        <w:pStyle w:val="ListBullet"/>
      </w:pPr>
      <w:r>
        <w:t>Sender identification may be required.</w:t>
      </w:r>
    </w:p>
    <w:p>
      <w:pPr>
        <w:pStyle w:val="ListBullet"/>
      </w:pPr>
      <w:r>
        <w:t>Recipient information and bank information may be required.</w:t>
      </w:r>
    </w:p>
    <w:p>
      <w:pPr>
        <w:pStyle w:val="ListBullet"/>
      </w:pPr>
      <w:r>
        <w:t>Purpose of payment may be requested.</w:t>
      </w:r>
    </w:p>
    <w:p>
      <w:pPr>
        <w:pStyle w:val="ListBullet"/>
      </w:pPr>
      <w:r>
        <w:t>Supporting documents may be required depending on the transaction.</w:t>
      </w:r>
    </w:p>
    <w:p>
      <w:pPr>
        <w:pStyle w:val="ListBullet"/>
      </w:pPr>
      <w:r>
        <w:t>Bank, correspondent, network, and foreign exchange charges may apply.</w:t>
      </w:r>
    </w:p>
    <w:p>
      <w:pPr>
        <w:pStyle w:val="ListBullet"/>
      </w:pPr>
      <w:r>
        <w:t>Applicable regulatory requirements may affect processing.</w:t>
      </w:r>
    </w:p>
    <w:p>
      <w:pPr>
        <w:pStyle w:val="Heading2"/>
      </w:pPr>
      <w:r>
        <w:t>6.3 Bill Payments</w:t>
      </w:r>
    </w:p>
    <w:p>
      <w:r>
        <w:t>Supported billers may include electricity, gas, internet, mobile, government-related services, and other merchants. The customer must verify the consumer number, reference number, or billing identifier before confirmation.</w:t>
      </w:r>
    </w:p>
    <w:p>
      <w:pPr>
        <w:pStyle w:val="Heading1"/>
      </w:pPr>
      <w:r>
        <w:t>7. Personal Financing</w:t>
      </w:r>
    </w:p>
    <w:p>
      <w:pPr>
        <w:pStyle w:val="Heading2"/>
      </w:pPr>
      <w:r>
        <w:t>7.1 Product Overview</w:t>
      </w:r>
    </w:p>
    <w:p>
      <w:r>
        <w:t>Nexa Personal Financing is a fictional consumer financing product for education, medical expenses, home improvement, consumer purchases, family expenses, and other approved personal purposes.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Prototype Policy</w:t>
            </w:r>
          </w:p>
        </w:tc>
      </w:tr>
      <w:tr>
        <w:tc>
          <w:tcPr>
            <w:tcW w:type="dxa" w:w="4968"/>
            <w:vAlign w:val="top"/>
          </w:tcPr>
          <w:p>
            <w:r>
              <w:t>Minimum amount</w:t>
            </w:r>
          </w:p>
        </w:tc>
        <w:tc>
          <w:tcPr>
            <w:tcW w:type="dxa" w:w="4968"/>
            <w:vAlign w:val="top"/>
          </w:tcPr>
          <w:p>
            <w:r>
              <w:t>PKR 100,000</w:t>
            </w:r>
          </w:p>
        </w:tc>
      </w:tr>
      <w:tr>
        <w:tc>
          <w:tcPr>
            <w:tcW w:type="dxa" w:w="4968"/>
            <w:vAlign w:val="top"/>
          </w:tcPr>
          <w:p>
            <w:r>
              <w:t>Maximum amount</w:t>
            </w:r>
          </w:p>
        </w:tc>
        <w:tc>
          <w:tcPr>
            <w:tcW w:type="dxa" w:w="4968"/>
            <w:vAlign w:val="top"/>
          </w:tcPr>
          <w:p>
            <w:r>
              <w:t>PKR 5,000,000</w:t>
            </w:r>
          </w:p>
        </w:tc>
      </w:tr>
      <w:tr>
        <w:tc>
          <w:tcPr>
            <w:tcW w:type="dxa" w:w="4968"/>
            <w:vAlign w:val="top"/>
          </w:tcPr>
          <w:p>
            <w:r>
              <w:t>Tenures</w:t>
            </w:r>
          </w:p>
        </w:tc>
        <w:tc>
          <w:tcPr>
            <w:tcW w:type="dxa" w:w="4968"/>
            <w:vAlign w:val="top"/>
          </w:tcPr>
          <w:p>
            <w:r>
              <w:t>12, 24, 36, 48, or 60 months</w:t>
            </w:r>
          </w:p>
        </w:tc>
      </w:tr>
      <w:tr>
        <w:tc>
          <w:tcPr>
            <w:tcW w:type="dxa" w:w="4968"/>
            <w:vAlign w:val="top"/>
          </w:tcPr>
          <w:p>
            <w:r>
              <w:t>Minimum age</w:t>
            </w:r>
          </w:p>
        </w:tc>
        <w:tc>
          <w:tcPr>
            <w:tcW w:type="dxa" w:w="4968"/>
            <w:vAlign w:val="top"/>
          </w:tcPr>
          <w:p>
            <w:r>
              <w:t>21 years</w:t>
            </w:r>
          </w:p>
        </w:tc>
      </w:tr>
      <w:tr>
        <w:tc>
          <w:tcPr>
            <w:tcW w:type="dxa" w:w="4968"/>
            <w:vAlign w:val="top"/>
          </w:tcPr>
          <w:p>
            <w:r>
              <w:t>Credit history</w:t>
            </w:r>
          </w:p>
        </w:tc>
        <w:tc>
          <w:tcPr>
            <w:tcW w:type="dxa" w:w="4968"/>
            <w:vAlign w:val="top"/>
          </w:tcPr>
          <w:p>
            <w:r>
              <w:t>Acceptable history required</w:t>
            </w:r>
          </w:p>
        </w:tc>
      </w:tr>
      <w:tr>
        <w:tc>
          <w:tcPr>
            <w:tcW w:type="dxa" w:w="4968"/>
            <w:vAlign w:val="top"/>
          </w:tcPr>
          <w:p>
            <w:r>
              <w:t>Income</w:t>
            </w:r>
          </w:p>
        </w:tc>
        <w:tc>
          <w:tcPr>
            <w:tcW w:type="dxa" w:w="4968"/>
            <w:vAlign w:val="top"/>
          </w:tcPr>
          <w:p>
            <w:r>
              <w:t>Stable source of income required</w:t>
            </w:r>
          </w:p>
        </w:tc>
      </w:tr>
      <w:tr>
        <w:tc>
          <w:tcPr>
            <w:tcW w:type="dxa" w:w="4968"/>
            <w:vAlign w:val="top"/>
          </w:tcPr>
          <w:p>
            <w:r>
              <w:t>DTI</w:t>
            </w:r>
          </w:p>
        </w:tc>
        <w:tc>
          <w:tcPr>
            <w:tcW w:type="dxa" w:w="4968"/>
            <w:vAlign w:val="top"/>
          </w:tcPr>
          <w:p>
            <w:r>
              <w:t>Subject to assessment</w:t>
            </w:r>
          </w:p>
        </w:tc>
      </w:tr>
    </w:tbl>
    <w:p/>
    <w:p>
      <w:pPr>
        <w:pStyle w:val="Heading2"/>
      </w:pPr>
      <w:r>
        <w:t>7.2 Eligibility Assessment</w:t>
      </w:r>
    </w:p>
    <w:p>
      <w:pPr>
        <w:pStyle w:val="ListBullet"/>
      </w:pPr>
      <w:r>
        <w:t>Customer must meet minimum age requirement.</w:t>
      </w:r>
    </w:p>
    <w:p>
      <w:pPr>
        <w:pStyle w:val="ListBullet"/>
      </w:pPr>
      <w:r>
        <w:t>Identity must be verified.</w:t>
      </w:r>
    </w:p>
    <w:p>
      <w:pPr>
        <w:pStyle w:val="ListBullet"/>
      </w:pPr>
      <w:r>
        <w:t>Income source must be established.</w:t>
      </w:r>
    </w:p>
    <w:p>
      <w:pPr>
        <w:pStyle w:val="ListBullet"/>
      </w:pPr>
      <w:r>
        <w:t>Credit history must be acceptable.</w:t>
      </w:r>
    </w:p>
    <w:p>
      <w:pPr>
        <w:pStyle w:val="ListBullet"/>
      </w:pPr>
      <w:r>
        <w:t>Debt-to-income position must be assessed.</w:t>
      </w:r>
    </w:p>
    <w:p>
      <w:pPr>
        <w:pStyle w:val="ListBullet"/>
      </w:pPr>
      <w:r>
        <w:t>Existing serious defaults may affect eligibility.</w:t>
      </w:r>
    </w:p>
    <w:p>
      <w:pPr>
        <w:pStyle w:val="ListBullet"/>
      </w:pPr>
      <w:r>
        <w:t>Required documents must be submitted.</w:t>
      </w:r>
    </w:p>
    <w:p>
      <w:pPr>
        <w:pStyle w:val="Heading2"/>
      </w:pPr>
      <w:r>
        <w:t>7.3 Debt-to-Income Ratio</w:t>
      </w:r>
    </w:p>
    <w:p>
      <w:r>
        <w:t>DTI = Total Monthly Debt Obligations / Gross Monthly Income × 100.</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DTI Range</w:t>
            </w:r>
          </w:p>
        </w:tc>
        <w:tc>
          <w:tcPr>
            <w:tcW w:type="dxa" w:w="4968"/>
          </w:tcPr>
          <w:p>
            <w:r>
              <w:rPr>
                <w:b/>
              </w:rPr>
              <w:t>Prototype Interpretation</w:t>
            </w:r>
          </w:p>
        </w:tc>
      </w:tr>
      <w:tr>
        <w:tc>
          <w:tcPr>
            <w:tcW w:type="dxa" w:w="4968"/>
            <w:vAlign w:val="top"/>
          </w:tcPr>
          <w:p>
            <w:r>
              <w:t>Below 30%</w:t>
            </w:r>
          </w:p>
        </w:tc>
        <w:tc>
          <w:tcPr>
            <w:tcW w:type="dxa" w:w="4968"/>
            <w:vAlign w:val="top"/>
          </w:tcPr>
          <w:p>
            <w:r>
              <w:t>Low concern</w:t>
            </w:r>
          </w:p>
        </w:tc>
      </w:tr>
      <w:tr>
        <w:tc>
          <w:tcPr>
            <w:tcW w:type="dxa" w:w="4968"/>
            <w:vAlign w:val="top"/>
          </w:tcPr>
          <w:p>
            <w:r>
              <w:t>30% to below 40%</w:t>
            </w:r>
          </w:p>
        </w:tc>
        <w:tc>
          <w:tcPr>
            <w:tcW w:type="dxa" w:w="4968"/>
            <w:vAlign w:val="top"/>
          </w:tcPr>
          <w:p>
            <w:r>
              <w:t>Moderate concern</w:t>
            </w:r>
          </w:p>
        </w:tc>
      </w:tr>
      <w:tr>
        <w:tc>
          <w:tcPr>
            <w:tcW w:type="dxa" w:w="4968"/>
            <w:vAlign w:val="top"/>
          </w:tcPr>
          <w:p>
            <w:r>
              <w:t>40% to 50%</w:t>
            </w:r>
          </w:p>
        </w:tc>
        <w:tc>
          <w:tcPr>
            <w:tcW w:type="dxa" w:w="4968"/>
            <w:vAlign w:val="top"/>
          </w:tcPr>
          <w:p>
            <w:r>
              <w:t>High concern</w:t>
            </w:r>
          </w:p>
        </w:tc>
      </w:tr>
      <w:tr>
        <w:tc>
          <w:tcPr>
            <w:tcW w:type="dxa" w:w="4968"/>
            <w:vAlign w:val="top"/>
          </w:tcPr>
          <w:p>
            <w:r>
              <w:t>Above 50%</w:t>
            </w:r>
          </w:p>
        </w:tc>
        <w:tc>
          <w:tcPr>
            <w:tcW w:type="dxa" w:w="4968"/>
            <w:vAlign w:val="top"/>
          </w:tcPr>
          <w:p>
            <w:r>
              <w:t>Enhanced review normally required</w:t>
            </w:r>
          </w:p>
        </w:tc>
      </w:tr>
    </w:tbl>
    <w:p/>
    <w:p>
      <w:r>
        <w:t>DTI is an assessment indicator and not an automatic approval or rejection rule. Other factors may affect the final decision.</w:t>
      </w:r>
    </w:p>
    <w:p>
      <w:pPr>
        <w:pStyle w:val="Heading2"/>
      </w:pPr>
      <w:r>
        <w:t>7.4 Financing Documents</w:t>
      </w:r>
    </w:p>
    <w:p>
      <w:pPr>
        <w:pStyle w:val="ListBullet"/>
      </w:pPr>
      <w:r>
        <w:t>Identity document</w:t>
      </w:r>
    </w:p>
    <w:p>
      <w:pPr>
        <w:pStyle w:val="ListBullet"/>
      </w:pPr>
      <w:r>
        <w:t>Recent salary slips for salaried applicants where required</w:t>
      </w:r>
    </w:p>
    <w:p>
      <w:pPr>
        <w:pStyle w:val="ListBullet"/>
      </w:pPr>
      <w:r>
        <w:t>Bank statements</w:t>
      </w:r>
    </w:p>
    <w:p>
      <w:pPr>
        <w:pStyle w:val="ListBullet"/>
      </w:pPr>
      <w:r>
        <w:t>Employment verification where required</w:t>
      </w:r>
    </w:p>
    <w:p>
      <w:pPr>
        <w:pStyle w:val="ListBullet"/>
      </w:pPr>
      <w:r>
        <w:t>Business documentation for self-employed applicants where applicable</w:t>
      </w:r>
    </w:p>
    <w:p>
      <w:pPr>
        <w:pStyle w:val="ListBullet"/>
      </w:pPr>
      <w:r>
        <w:t>Income evidence</w:t>
      </w:r>
    </w:p>
    <w:p>
      <w:pPr>
        <w:pStyle w:val="ListBullet"/>
      </w:pPr>
      <w:r>
        <w:t>Tax documentation where required</w:t>
      </w:r>
    </w:p>
    <w:p>
      <w:pPr>
        <w:pStyle w:val="Heading2"/>
      </w:pPr>
      <w:r>
        <w:t>7.5 Financing Decision Language</w:t>
      </w:r>
    </w:p>
    <w:p>
      <w:r>
        <w:t>The AI assistant may state that a customer appears eligible, potentially eligible, requires additional review, or appears unlikely to qualify based on retrieved information. It must not state that financing has been formally approved unless an authorized credit decision system has returned an approval.</w:t>
      </w:r>
    </w:p>
    <w:p>
      <w:pPr>
        <w:pStyle w:val="Heading1"/>
      </w:pPr>
      <w:r>
        <w:t>8. Home and Auto Financing</w:t>
      </w:r>
    </w:p>
    <w:p>
      <w:pPr>
        <w:pStyle w:val="Heading2"/>
      </w:pPr>
      <w:r>
        <w:t>8.1 Home Financing</w:t>
      </w:r>
    </w:p>
    <w:p>
      <w:r>
        <w:t>Home financing may be available for eligible customers subject to income assessment, property assessment, credit history, documentation, down-payment requirements, legal review, and internal approval.</w:t>
      </w:r>
    </w:p>
    <w:p>
      <w:pPr>
        <w:pStyle w:val="ListBullet"/>
      </w:pPr>
      <w:r>
        <w:t>Identity verification</w:t>
      </w:r>
    </w:p>
    <w:p>
      <w:pPr>
        <w:pStyle w:val="ListBullet"/>
      </w:pPr>
      <w:r>
        <w:t>Income verification</w:t>
      </w:r>
    </w:p>
    <w:p>
      <w:pPr>
        <w:pStyle w:val="ListBullet"/>
      </w:pPr>
      <w:r>
        <w:t>Credit assessment</w:t>
      </w:r>
    </w:p>
    <w:p>
      <w:pPr>
        <w:pStyle w:val="ListBullet"/>
      </w:pPr>
      <w:r>
        <w:t>Property documentation</w:t>
      </w:r>
    </w:p>
    <w:p>
      <w:pPr>
        <w:pStyle w:val="ListBullet"/>
      </w:pPr>
      <w:r>
        <w:t>Property valuation</w:t>
      </w:r>
    </w:p>
    <w:p>
      <w:pPr>
        <w:pStyle w:val="ListBullet"/>
      </w:pPr>
      <w:r>
        <w:t>Legal documentation</w:t>
      </w:r>
    </w:p>
    <w:p>
      <w:pPr>
        <w:pStyle w:val="ListBullet"/>
      </w:pPr>
      <w:r>
        <w:t>Repayment capacity assessment</w:t>
      </w:r>
    </w:p>
    <w:p>
      <w:pPr>
        <w:pStyle w:val="ListBullet"/>
      </w:pPr>
      <w:r>
        <w:t>Final authorized approval</w:t>
      </w:r>
    </w:p>
    <w:p>
      <w:pPr>
        <w:pStyle w:val="Heading2"/>
      </w:pPr>
      <w:r>
        <w:t>8.2 Auto Financing</w:t>
      </w:r>
    </w:p>
    <w:p>
      <w:r>
        <w:t>Auto financing may be available for eligible customers purchasing an approved vehicle. Assessment may include income, credit history, existing obligations, vehicle details, valuation, and repayment capacity.</w:t>
      </w:r>
    </w:p>
    <w:p>
      <w:pPr>
        <w:pStyle w:val="Heading1"/>
      </w:pPr>
      <w:r>
        <w:t>9. Fees, Charges, Limits and Service Standards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Service</w:t>
            </w:r>
          </w:p>
        </w:tc>
        <w:tc>
          <w:tcPr>
            <w:tcW w:type="dxa" w:w="4968"/>
          </w:tcPr>
          <w:p>
            <w:r>
              <w:rPr>
                <w:b/>
              </w:rPr>
              <w:t>Prototype Charge / Limit</w:t>
            </w:r>
          </w:p>
        </w:tc>
      </w:tr>
      <w:tr>
        <w:tc>
          <w:tcPr>
            <w:tcW w:type="dxa" w:w="4968"/>
            <w:vAlign w:val="top"/>
          </w:tcPr>
          <w:p>
            <w:r>
              <w:t>Current account monthly fee</w:t>
            </w:r>
          </w:p>
        </w:tc>
        <w:tc>
          <w:tcPr>
            <w:tcW w:type="dxa" w:w="4968"/>
            <w:vAlign w:val="top"/>
          </w:tcPr>
          <w:p>
            <w:r>
              <w:t>PKR 250</w:t>
            </w:r>
          </w:p>
        </w:tc>
      </w:tr>
      <w:tr>
        <w:tc>
          <w:tcPr>
            <w:tcW w:type="dxa" w:w="4968"/>
            <w:vAlign w:val="top"/>
          </w:tcPr>
          <w:p>
            <w:r>
              <w:t>Current account fee waiver</w:t>
            </w:r>
          </w:p>
        </w:tc>
        <w:tc>
          <w:tcPr>
            <w:tcW w:type="dxa" w:w="4968"/>
            <w:vAlign w:val="top"/>
          </w:tcPr>
          <w:p>
            <w:r>
              <w:t>Average monthly balance &gt;= PKR 50,000</w:t>
            </w:r>
          </w:p>
        </w:tc>
      </w:tr>
      <w:tr>
        <w:tc>
          <w:tcPr>
            <w:tcW w:type="dxa" w:w="4968"/>
            <w:vAlign w:val="top"/>
          </w:tcPr>
          <w:p>
            <w:r>
              <w:t>Savings account monthly fee</w:t>
            </w:r>
          </w:p>
        </w:tc>
        <w:tc>
          <w:tcPr>
            <w:tcW w:type="dxa" w:w="4968"/>
            <w:vAlign w:val="top"/>
          </w:tcPr>
          <w:p>
            <w:r>
              <w:t>PKR 150</w:t>
            </w:r>
          </w:p>
        </w:tc>
      </w:tr>
      <w:tr>
        <w:tc>
          <w:tcPr>
            <w:tcW w:type="dxa" w:w="4968"/>
            <w:vAlign w:val="top"/>
          </w:tcPr>
          <w:p>
            <w:r>
              <w:t>Savings account fee waiver</w:t>
            </w:r>
          </w:p>
        </w:tc>
        <w:tc>
          <w:tcPr>
            <w:tcW w:type="dxa" w:w="4968"/>
            <w:vAlign w:val="top"/>
          </w:tcPr>
          <w:p>
            <w:r>
              <w:t>Average monthly balance &gt; PKR 25,000</w:t>
            </w:r>
          </w:p>
        </w:tc>
      </w:tr>
      <w:tr>
        <w:tc>
          <w:tcPr>
            <w:tcW w:type="dxa" w:w="4968"/>
            <w:vAlign w:val="top"/>
          </w:tcPr>
          <w:p>
            <w:r>
              <w:t>Other-bank ATM withdrawal</w:t>
            </w:r>
          </w:p>
        </w:tc>
        <w:tc>
          <w:tcPr>
            <w:tcW w:type="dxa" w:w="4968"/>
            <w:vAlign w:val="top"/>
          </w:tcPr>
          <w:p>
            <w:r>
              <w:t>PKR 35</w:t>
            </w:r>
          </w:p>
        </w:tc>
      </w:tr>
      <w:tr>
        <w:tc>
          <w:tcPr>
            <w:tcW w:type="dxa" w:w="4968"/>
            <w:vAlign w:val="top"/>
          </w:tcPr>
          <w:p>
            <w:r>
              <w:t>NexaBank ATM withdrawal</w:t>
            </w:r>
          </w:p>
        </w:tc>
        <w:tc>
          <w:tcPr>
            <w:tcW w:type="dxa" w:w="4968"/>
            <w:vAlign w:val="top"/>
          </w:tcPr>
          <w:p>
            <w:r>
              <w:t>Free</w:t>
            </w:r>
          </w:p>
        </w:tc>
      </w:tr>
      <w:tr>
        <w:tc>
          <w:tcPr>
            <w:tcW w:type="dxa" w:w="4968"/>
            <w:vAlign w:val="top"/>
          </w:tcPr>
          <w:p>
            <w:r>
              <w:t>Standard digital transfer daily limit</w:t>
            </w:r>
          </w:p>
        </w:tc>
        <w:tc>
          <w:tcPr>
            <w:tcW w:type="dxa" w:w="4968"/>
            <w:vAlign w:val="top"/>
          </w:tcPr>
          <w:p>
            <w:r>
              <w:t>PKR 500,000</w:t>
            </w:r>
          </w:p>
        </w:tc>
      </w:tr>
      <w:tr>
        <w:tc>
          <w:tcPr>
            <w:tcW w:type="dxa" w:w="4968"/>
            <w:vAlign w:val="top"/>
          </w:tcPr>
          <w:p>
            <w:r>
              <w:t>Daily ATM withdrawal limit</w:t>
            </w:r>
          </w:p>
        </w:tc>
        <w:tc>
          <w:tcPr>
            <w:tcW w:type="dxa" w:w="4968"/>
            <w:vAlign w:val="top"/>
          </w:tcPr>
          <w:p>
            <w:r>
              <w:t>PKR 100,000</w:t>
            </w:r>
          </w:p>
        </w:tc>
      </w:tr>
      <w:tr>
        <w:tc>
          <w:tcPr>
            <w:tcW w:type="dxa" w:w="4968"/>
            <w:vAlign w:val="top"/>
          </w:tcPr>
          <w:p>
            <w:r>
              <w:t>Daily merchant transaction limit</w:t>
            </w:r>
          </w:p>
        </w:tc>
        <w:tc>
          <w:tcPr>
            <w:tcW w:type="dxa" w:w="4968"/>
            <w:vAlign w:val="top"/>
          </w:tcPr>
          <w:p>
            <w:r>
              <w:t>PKR 300,000</w:t>
            </w:r>
          </w:p>
        </w:tc>
      </w:tr>
    </w:tbl>
    <w:p/>
    <w:p>
      <w:r>
        <w:t>Fees shown in this document are synthetic prototype values. If a live fee schedule is connected later, the live fee schedule must take precedence over these static values.</w:t>
      </w:r>
    </w:p>
    <w:p>
      <w:pPr>
        <w:pStyle w:val="Heading1"/>
      </w:pPr>
      <w:r>
        <w:t>10. Fraud, Security and Suspicious Activity</w:t>
      </w:r>
    </w:p>
    <w:p>
      <w:pPr>
        <w:pStyle w:val="Heading2"/>
      </w:pPr>
      <w:r>
        <w:t>10.1 Fraud Hotline</w:t>
      </w:r>
    </w:p>
    <w:p>
      <w:r>
        <w:t>24-hour fraud hotline: 0800-555-999</w:t>
      </w:r>
    </w:p>
    <w:p>
      <w:pPr>
        <w:pStyle w:val="Heading2"/>
      </w:pPr>
      <w:r>
        <w:t>10.2 Common Risk Indicators</w:t>
      </w:r>
    </w:p>
    <w:p>
      <w:pPr>
        <w:pStyle w:val="ListBullet"/>
      </w:pPr>
      <w:r>
        <w:t>Sudden high-value transaction</w:t>
      </w:r>
    </w:p>
    <w:p>
      <w:pPr>
        <w:pStyle w:val="ListBullet"/>
      </w:pPr>
      <w:r>
        <w:t>Rapid series of transactions</w:t>
      </w:r>
    </w:p>
    <w:p>
      <w:pPr>
        <w:pStyle w:val="ListBullet"/>
      </w:pPr>
      <w:r>
        <w:t>Transactions inconsistent with historical behavior</w:t>
      </w:r>
    </w:p>
    <w:p>
      <w:pPr>
        <w:pStyle w:val="ListBullet"/>
      </w:pPr>
      <w:r>
        <w:t>Unusual geographic activity</w:t>
      </w:r>
    </w:p>
    <w:p>
      <w:pPr>
        <w:pStyle w:val="ListBullet"/>
      </w:pPr>
      <w:r>
        <w:t>Repeated failed authentication</w:t>
      </w:r>
    </w:p>
    <w:p>
      <w:pPr>
        <w:pStyle w:val="ListBullet"/>
      </w:pPr>
      <w:r>
        <w:t>Unexpected beneficiary additions</w:t>
      </w:r>
    </w:p>
    <w:p>
      <w:pPr>
        <w:pStyle w:val="ListBullet"/>
      </w:pPr>
      <w:r>
        <w:t>Rapid movement of funds after account funding</w:t>
      </w:r>
    </w:p>
    <w:p>
      <w:pPr>
        <w:pStyle w:val="ListBullet"/>
      </w:pPr>
      <w:r>
        <w:t>Unusual merchant or transaction category</w:t>
      </w:r>
    </w:p>
    <w:p>
      <w:pPr>
        <w:pStyle w:val="Heading2"/>
      </w:pPr>
      <w:r>
        <w:t>10.3 Fraud Handling</w:t>
      </w:r>
    </w:p>
    <w:p>
      <w:pPr>
        <w:pStyle w:val="ListNumber"/>
      </w:pPr>
      <w:r>
        <w:t>Identify the suspicious activity.</w:t>
      </w:r>
    </w:p>
    <w:p>
      <w:pPr>
        <w:pStyle w:val="ListNumber"/>
      </w:pPr>
      <w:r>
        <w:t>Protect the affected account or card where authorized.</w:t>
      </w:r>
    </w:p>
    <w:p>
      <w:pPr>
        <w:pStyle w:val="ListNumber"/>
      </w:pPr>
      <w:r>
        <w:t>Verify customer identity.</w:t>
      </w:r>
    </w:p>
    <w:p>
      <w:pPr>
        <w:pStyle w:val="ListNumber"/>
      </w:pPr>
      <w:r>
        <w:t>Record relevant transaction information.</w:t>
      </w:r>
    </w:p>
    <w:p>
      <w:pPr>
        <w:pStyle w:val="ListNumber"/>
      </w:pPr>
      <w:r>
        <w:t>Escalate to fraud operations where required.</w:t>
      </w:r>
    </w:p>
    <w:p>
      <w:pPr>
        <w:pStyle w:val="ListNumber"/>
      </w:pPr>
      <w:r>
        <w:t>Investigate the activity.</w:t>
      </w:r>
    </w:p>
    <w:p>
      <w:pPr>
        <w:pStyle w:val="ListNumber"/>
      </w:pPr>
      <w:r>
        <w:t>Communicate the outcome according to bank procedure.</w:t>
      </w:r>
    </w:p>
    <w:p>
      <w:r>
        <w:t>The AI assistant must use language such as 'potentially suspicious' or 'requires review' unless an authorized fraud investigation has established a confirmed finding.</w:t>
      </w:r>
    </w:p>
    <w:p>
      <w:pPr>
        <w:pStyle w:val="Heading1"/>
      </w:pPr>
      <w:r>
        <w:t>11. Privacy and Information Handling</w:t>
      </w:r>
    </w:p>
    <w:p>
      <w:pPr>
        <w:pStyle w:val="Heading2"/>
      </w:pPr>
      <w:r>
        <w:t>11.1 Customer Information</w:t>
      </w:r>
    </w:p>
    <w:p>
      <w:pPr>
        <w:pStyle w:val="ListBullet"/>
      </w:pPr>
      <w:r>
        <w:t>Identity information</w:t>
      </w:r>
    </w:p>
    <w:p>
      <w:pPr>
        <w:pStyle w:val="ListBullet"/>
      </w:pPr>
      <w:r>
        <w:t>Contact information</w:t>
      </w:r>
    </w:p>
    <w:p>
      <w:pPr>
        <w:pStyle w:val="ListBullet"/>
      </w:pPr>
      <w:r>
        <w:t>Account information</w:t>
      </w:r>
    </w:p>
    <w:p>
      <w:pPr>
        <w:pStyle w:val="ListBullet"/>
      </w:pPr>
      <w:r>
        <w:t>Transaction information</w:t>
      </w:r>
    </w:p>
    <w:p>
      <w:pPr>
        <w:pStyle w:val="ListBullet"/>
      </w:pPr>
      <w:r>
        <w:t>Financial information</w:t>
      </w:r>
    </w:p>
    <w:p>
      <w:pPr>
        <w:pStyle w:val="ListBullet"/>
      </w:pPr>
      <w:r>
        <w:t>Credit information</w:t>
      </w:r>
    </w:p>
    <w:p>
      <w:pPr>
        <w:pStyle w:val="ListBullet"/>
      </w:pPr>
      <w:r>
        <w:t>Device and authentication information</w:t>
      </w:r>
    </w:p>
    <w:p>
      <w:pPr>
        <w:pStyle w:val="Heading2"/>
      </w:pPr>
      <w:r>
        <w:t>11.2 Least Privilege</w:t>
      </w:r>
    </w:p>
    <w:p>
      <w:r>
        <w:t>Employees, services, and AI agents should only access the information required for their authorized function. An AI agent must not be granted unrestricted database access merely because it can technically use it.</w:t>
      </w:r>
    </w:p>
    <w:p>
      <w:pPr>
        <w:pStyle w:val="Heading2"/>
      </w:pPr>
      <w:r>
        <w:t>11.3 Information Disclosure</w:t>
      </w:r>
    </w:p>
    <w:p>
      <w:r>
        <w:t>The system must not disclose another customer's information. Customer-specific data should only be returned after appropriate authentication and authorization.</w:t>
      </w:r>
    </w:p>
    <w:p>
      <w:pPr>
        <w:pStyle w:val="Heading1"/>
      </w:pPr>
      <w:r>
        <w:t>12. Complaints and Dispute Resolution</w:t>
      </w:r>
    </w:p>
    <w:p>
      <w:pPr>
        <w:pStyle w:val="Heading2"/>
      </w:pPr>
      <w:r>
        <w:t>12.1 Complaint Categories</w:t>
      </w:r>
    </w:p>
    <w:p>
      <w:pPr>
        <w:pStyle w:val="ListBullet"/>
      </w:pPr>
      <w:r>
        <w:t>Unauthorized transaction</w:t>
      </w:r>
    </w:p>
    <w:p>
      <w:pPr>
        <w:pStyle w:val="ListBullet"/>
      </w:pPr>
      <w:r>
        <w:t>Incorrect transaction amount</w:t>
      </w:r>
    </w:p>
    <w:p>
      <w:pPr>
        <w:pStyle w:val="ListBullet"/>
      </w:pPr>
      <w:r>
        <w:t>Duplicate transaction</w:t>
      </w:r>
    </w:p>
    <w:p>
      <w:pPr>
        <w:pStyle w:val="ListBullet"/>
      </w:pPr>
      <w:r>
        <w:t>Failed payment</w:t>
      </w:r>
    </w:p>
    <w:p>
      <w:pPr>
        <w:pStyle w:val="ListBullet"/>
      </w:pPr>
      <w:r>
        <w:t>Card issue</w:t>
      </w:r>
    </w:p>
    <w:p>
      <w:pPr>
        <w:pStyle w:val="ListBullet"/>
      </w:pPr>
      <w:r>
        <w:t>Account service issue</w:t>
      </w:r>
    </w:p>
    <w:p>
      <w:pPr>
        <w:pStyle w:val="ListBullet"/>
      </w:pPr>
      <w:r>
        <w:t>Fee dispute</w:t>
      </w:r>
    </w:p>
    <w:p>
      <w:pPr>
        <w:pStyle w:val="ListBullet"/>
      </w:pPr>
      <w:r>
        <w:t>Digital banking issue</w:t>
      </w:r>
    </w:p>
    <w:p>
      <w:pPr>
        <w:pStyle w:val="ListBullet"/>
      </w:pPr>
      <w:r>
        <w:t>Financing complaint</w:t>
      </w:r>
    </w:p>
    <w:p>
      <w:pPr>
        <w:pStyle w:val="Heading2"/>
      </w:pPr>
      <w:r>
        <w:t>12.2 Dispute Workflow</w:t>
      </w:r>
    </w:p>
    <w:p>
      <w:pPr>
        <w:pStyle w:val="ListNumber"/>
      </w:pPr>
      <w:r>
        <w:t>Customer submits complaint or dispute.</w:t>
      </w:r>
    </w:p>
    <w:p>
      <w:pPr>
        <w:pStyle w:val="ListNumber"/>
      </w:pPr>
      <w:r>
        <w:t>Customer identity is verified.</w:t>
      </w:r>
    </w:p>
    <w:p>
      <w:pPr>
        <w:pStyle w:val="ListNumber"/>
      </w:pPr>
      <w:r>
        <w:t>Transaction or service details are collected.</w:t>
      </w:r>
    </w:p>
    <w:p>
      <w:pPr>
        <w:pStyle w:val="ListNumber"/>
      </w:pPr>
      <w:r>
        <w:t>The case is categorized.</w:t>
      </w:r>
    </w:p>
    <w:p>
      <w:pPr>
        <w:pStyle w:val="ListNumber"/>
      </w:pPr>
      <w:r>
        <w:t>The responsible team investigates.</w:t>
      </w:r>
    </w:p>
    <w:p>
      <w:pPr>
        <w:pStyle w:val="ListNumber"/>
      </w:pPr>
      <w:r>
        <w:t>Evidence is reviewed.</w:t>
      </w:r>
    </w:p>
    <w:p>
      <w:pPr>
        <w:pStyle w:val="ListNumber"/>
      </w:pPr>
      <w:r>
        <w:t>Temporary adjustment may be considered where applicable.</w:t>
      </w:r>
    </w:p>
    <w:p>
      <w:pPr>
        <w:pStyle w:val="ListNumber"/>
      </w:pPr>
      <w:r>
        <w:t>Final outcome is recorded.</w:t>
      </w:r>
    </w:p>
    <w:p>
      <w:pPr>
        <w:pStyle w:val="ListNumber"/>
      </w:pPr>
      <w:r>
        <w:t>Customer is notified.</w:t>
      </w:r>
    </w:p>
    <w:p>
      <w:r>
        <w:t>Investigation time varies according to transaction type, complexity, and evidence requirements. The AI should not promise a resolution date unless a case-management system provides one.</w:t>
      </w:r>
    </w:p>
    <w:p>
      <w:pPr>
        <w:pStyle w:val="Heading1"/>
      </w:pPr>
      <w:r>
        <w:t>13. AI Assistant and Agent Governance</w:t>
      </w:r>
    </w:p>
    <w:p>
      <w:pPr>
        <w:pStyle w:val="Heading2"/>
      </w:pPr>
      <w:r>
        <w:t>13.1 AI System Role</w:t>
      </w:r>
    </w:p>
    <w:p>
      <w:r>
        <w:t>The NexaBank AI Assistant is a support and decision-support interface. It can retrieve information, summarize authorized data, explain policies, perform calculations, coordinate specialized agents, and guide customers through procedures.</w:t>
      </w:r>
    </w:p>
    <w:p>
      <w:pPr>
        <w:pStyle w:val="Heading2"/>
      </w:pPr>
      <w:r>
        <w:t>13.2 RAG Knowledge Boundary</w:t>
      </w:r>
    </w:p>
    <w:p>
      <w:r>
        <w:t>The RAG knowledge base contains institutional knowledge such as products, policies, procedures, definitions, fees, security guidance, and frequently asked questions. RAG should not be treated as a live customer database.</w:t>
      </w:r>
    </w:p>
    <w:p>
      <w:pPr>
        <w:pStyle w:val="Heading2"/>
      </w:pPr>
      <w:r>
        <w:t>13.3 Tool and Agent Boundary</w:t>
      </w:r>
    </w:p>
    <w:p>
      <w:r>
        <w:t>Customer-specific facts such as current balance, recent transactions, credit score, loan status, and fraud alerts should be retrieved through authorized tools connected to synthetic or real banking systems.</w:t>
      </w:r>
    </w:p>
    <w:p>
      <w:pPr>
        <w:pStyle w:val="Heading2"/>
      </w:pPr>
      <w:r>
        <w:t>13.4 Agent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Agent</w:t>
            </w:r>
          </w:p>
        </w:tc>
        <w:tc>
          <w:tcPr>
            <w:tcW w:type="dxa" w:w="3312"/>
          </w:tcPr>
          <w:p>
            <w:r>
              <w:rPr>
                <w:b/>
              </w:rPr>
              <w:t>Primary Responsibility</w:t>
            </w:r>
          </w:p>
        </w:tc>
        <w:tc>
          <w:tcPr>
            <w:tcW w:type="dxa" w:w="3312"/>
          </w:tcPr>
          <w:p>
            <w:r>
              <w:rPr>
                <w:b/>
              </w:rPr>
              <w:t>Permitted Knowledge / Tools</w:t>
            </w:r>
          </w:p>
        </w:tc>
      </w:tr>
      <w:tr>
        <w:tc>
          <w:tcPr>
            <w:tcW w:type="dxa" w:w="3312"/>
            <w:vAlign w:val="top"/>
          </w:tcPr>
          <w:p>
            <w:r>
              <w:t>Manager Agent</w:t>
            </w:r>
          </w:p>
        </w:tc>
        <w:tc>
          <w:tcPr>
            <w:tcW w:type="dxa" w:w="3312"/>
            <w:vAlign w:val="top"/>
          </w:tcPr>
          <w:p>
            <w:r>
              <w:t>Decompose and coordinate tasks</w:t>
            </w:r>
          </w:p>
        </w:tc>
        <w:tc>
          <w:tcPr>
            <w:tcW w:type="dxa" w:w="3312"/>
            <w:vAlign w:val="top"/>
          </w:tcPr>
          <w:p>
            <w:r>
              <w:t>Agent registry, task state, outputs from specialist agents</w:t>
            </w:r>
          </w:p>
        </w:tc>
      </w:tr>
      <w:tr>
        <w:tc>
          <w:tcPr>
            <w:tcW w:type="dxa" w:w="3312"/>
            <w:vAlign w:val="top"/>
          </w:tcPr>
          <w:p>
            <w:r>
              <w:t>Policy Agent</w:t>
            </w:r>
          </w:p>
        </w:tc>
        <w:tc>
          <w:tcPr>
            <w:tcW w:type="dxa" w:w="3312"/>
            <w:vAlign w:val="top"/>
          </w:tcPr>
          <w:p>
            <w:r>
              <w:t>Interpret bank policies</w:t>
            </w:r>
          </w:p>
        </w:tc>
        <w:tc>
          <w:tcPr>
            <w:tcW w:type="dxa" w:w="3312"/>
            <w:vAlign w:val="top"/>
          </w:tcPr>
          <w:p>
            <w:r>
              <w:t>RAG policy corpus</w:t>
            </w:r>
          </w:p>
        </w:tc>
      </w:tr>
      <w:tr>
        <w:tc>
          <w:tcPr>
            <w:tcW w:type="dxa" w:w="3312"/>
            <w:vAlign w:val="top"/>
          </w:tcPr>
          <w:p>
            <w:r>
              <w:t>Financial Analysis Agent</w:t>
            </w:r>
          </w:p>
        </w:tc>
        <w:tc>
          <w:tcPr>
            <w:tcW w:type="dxa" w:w="3312"/>
            <w:vAlign w:val="top"/>
          </w:tcPr>
          <w:p>
            <w:r>
              <w:t>Analyze income, spending and debt</w:t>
            </w:r>
          </w:p>
        </w:tc>
        <w:tc>
          <w:tcPr>
            <w:tcW w:type="dxa" w:w="3312"/>
            <w:vAlign w:val="top"/>
          </w:tcPr>
          <w:p>
            <w:r>
              <w:t>Authorized financial data and calculators</w:t>
            </w:r>
          </w:p>
        </w:tc>
      </w:tr>
      <w:tr>
        <w:tc>
          <w:tcPr>
            <w:tcW w:type="dxa" w:w="3312"/>
            <w:vAlign w:val="top"/>
          </w:tcPr>
          <w:p>
            <w:r>
              <w:t>Fraud Agent</w:t>
            </w:r>
          </w:p>
        </w:tc>
        <w:tc>
          <w:tcPr>
            <w:tcW w:type="dxa" w:w="3312"/>
            <w:vAlign w:val="top"/>
          </w:tcPr>
          <w:p>
            <w:r>
              <w:t>Identify transaction risk signals</w:t>
            </w:r>
          </w:p>
        </w:tc>
        <w:tc>
          <w:tcPr>
            <w:tcW w:type="dxa" w:w="3312"/>
            <w:vAlign w:val="top"/>
          </w:tcPr>
          <w:p>
            <w:r>
              <w:t>Authorized transaction data and fraud rules</w:t>
            </w:r>
          </w:p>
        </w:tc>
      </w:tr>
      <w:tr>
        <w:tc>
          <w:tcPr>
            <w:tcW w:type="dxa" w:w="3312"/>
            <w:vAlign w:val="top"/>
          </w:tcPr>
          <w:p>
            <w:r>
              <w:t>Customer Service Agent</w:t>
            </w:r>
          </w:p>
        </w:tc>
        <w:tc>
          <w:tcPr>
            <w:tcW w:type="dxa" w:w="3312"/>
            <w:vAlign w:val="top"/>
          </w:tcPr>
          <w:p>
            <w:r>
              <w:t>General customer assistance</w:t>
            </w:r>
          </w:p>
        </w:tc>
        <w:tc>
          <w:tcPr>
            <w:tcW w:type="dxa" w:w="3312"/>
            <w:vAlign w:val="top"/>
          </w:tcPr>
          <w:p>
            <w:r>
              <w:t>RAG, approved customer-service tools</w:t>
            </w:r>
          </w:p>
        </w:tc>
      </w:tr>
      <w:tr>
        <w:tc>
          <w:tcPr>
            <w:tcW w:type="dxa" w:w="3312"/>
            <w:vAlign w:val="top"/>
          </w:tcPr>
          <w:p>
            <w:r>
              <w:t>Synthesis Agent</w:t>
            </w:r>
          </w:p>
        </w:tc>
        <w:tc>
          <w:tcPr>
            <w:tcW w:type="dxa" w:w="3312"/>
            <w:vAlign w:val="top"/>
          </w:tcPr>
          <w:p>
            <w:r>
              <w:t>Combine specialist findings</w:t>
            </w:r>
          </w:p>
        </w:tc>
        <w:tc>
          <w:tcPr>
            <w:tcW w:type="dxa" w:w="3312"/>
            <w:vAlign w:val="top"/>
          </w:tcPr>
          <w:p>
            <w:r>
              <w:t>Structured outputs from specialist agents</w:t>
            </w:r>
          </w:p>
        </w:tc>
      </w:tr>
    </w:tbl>
    <w:p/>
    <w:p>
      <w:pPr>
        <w:pStyle w:val="Heading2"/>
      </w:pPr>
      <w:r>
        <w:t>13.5 Prohibited AI Actions</w:t>
      </w:r>
    </w:p>
    <w:p>
      <w:pPr>
        <w:pStyle w:val="ListBullet"/>
      </w:pPr>
      <w:r>
        <w:t>Approving or rejecting financing without the authorized decision system</w:t>
      </w:r>
    </w:p>
    <w:p>
      <w:pPr>
        <w:pStyle w:val="ListBullet"/>
      </w:pPr>
      <w:r>
        <w:t>Executing an unauthorized money transfer</w:t>
      </w:r>
    </w:p>
    <w:p>
      <w:pPr>
        <w:pStyle w:val="ListBullet"/>
      </w:pPr>
      <w:r>
        <w:t>Bypassing authentication</w:t>
      </w:r>
    </w:p>
    <w:p>
      <w:pPr>
        <w:pStyle w:val="ListBullet"/>
      </w:pPr>
      <w:r>
        <w:t>Revealing protected information to an unauthorized user</w:t>
      </w:r>
    </w:p>
    <w:p>
      <w:pPr>
        <w:pStyle w:val="ListBullet"/>
      </w:pPr>
      <w:r>
        <w:t>Changing customer records without an authorized workflow</w:t>
      </w:r>
    </w:p>
    <w:p>
      <w:pPr>
        <w:pStyle w:val="ListBullet"/>
      </w:pPr>
      <w:r>
        <w:t>Inventing customer balances or transactions</w:t>
      </w:r>
    </w:p>
    <w:p>
      <w:pPr>
        <w:pStyle w:val="ListBullet"/>
      </w:pPr>
      <w:r>
        <w:t>Inventing policy provisions</w:t>
      </w:r>
    </w:p>
    <w:p>
      <w:pPr>
        <w:pStyle w:val="ListBullet"/>
      </w:pPr>
      <w:r>
        <w:t>Presenting an estimate as a confirmed banking decision</w:t>
      </w:r>
    </w:p>
    <w:p>
      <w:pPr>
        <w:pStyle w:val="Heading1"/>
      </w:pPr>
      <w:r>
        <w:t>14. Financial Education and Customer Guidance</w:t>
      </w:r>
    </w:p>
    <w:p>
      <w:pPr>
        <w:pStyle w:val="Heading2"/>
      </w:pPr>
      <w:r>
        <w:t>14.1 General Financial Guidance</w:t>
      </w:r>
    </w:p>
    <w:p>
      <w:r>
        <w:t>The AI may explain concepts such as budgeting, emergency funds, debt-to-income ratio, interest, repayment, credit utilization, and transaction security. Educational guidance should be clearly distinguished from formal bank decisions and personalized regulated financial advice.</w:t>
      </w:r>
    </w:p>
    <w:p>
      <w:pPr>
        <w:pStyle w:val="Heading2"/>
      </w:pPr>
      <w:r>
        <w:t>14.2 Budgeting Guidance</w:t>
      </w:r>
    </w:p>
    <w:p>
      <w:pPr>
        <w:pStyle w:val="ListBullet"/>
      </w:pPr>
      <w:r>
        <w:t>Identify recurring income.</w:t>
      </w:r>
    </w:p>
    <w:p>
      <w:pPr>
        <w:pStyle w:val="ListBullet"/>
      </w:pPr>
      <w:r>
        <w:t>Identify essential expenses.</w:t>
      </w:r>
    </w:p>
    <w:p>
      <w:pPr>
        <w:pStyle w:val="ListBullet"/>
      </w:pPr>
      <w:r>
        <w:t>Identify discretionary spending.</w:t>
      </w:r>
    </w:p>
    <w:p>
      <w:pPr>
        <w:pStyle w:val="ListBullet"/>
      </w:pPr>
      <w:r>
        <w:t>Identify existing debt payments.</w:t>
      </w:r>
    </w:p>
    <w:p>
      <w:pPr>
        <w:pStyle w:val="ListBullet"/>
      </w:pPr>
      <w:r>
        <w:t>Estimate available monthly surplus.</w:t>
      </w:r>
    </w:p>
    <w:p>
      <w:pPr>
        <w:pStyle w:val="ListBullet"/>
      </w:pPr>
      <w:r>
        <w:t>Maintain an emergency reserve where possible.</w:t>
      </w:r>
    </w:p>
    <w:p>
      <w:pPr>
        <w:pStyle w:val="Heading2"/>
      </w:pPr>
      <w:r>
        <w:t>14.3 Loan Affordability</w:t>
      </w:r>
    </w:p>
    <w:p>
      <w:r>
        <w:t>Loan affordability should consider income, essential expenses, existing debt obligations, proposed repayment, and financial stability rather than relying only on the requested loan amount.</w:t>
      </w:r>
    </w:p>
    <w:p>
      <w:pPr>
        <w:pStyle w:val="Heading1"/>
      </w:pPr>
      <w:r>
        <w:t>15. Banking Glossary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Definition</w:t>
            </w:r>
          </w:p>
        </w:tc>
      </w:tr>
      <w:tr>
        <w:tc>
          <w:tcPr>
            <w:tcW w:type="dxa" w:w="4968"/>
            <w:vAlign w:val="top"/>
          </w:tcPr>
          <w:p>
            <w:r>
              <w:t>Account</w:t>
            </w:r>
          </w:p>
        </w:tc>
        <w:tc>
          <w:tcPr>
            <w:tcW w:type="dxa" w:w="4968"/>
            <w:vAlign w:val="top"/>
          </w:tcPr>
          <w:p>
            <w:r>
              <w:t>A banking relationship used to hold funds and record transactions.</w:t>
            </w:r>
          </w:p>
        </w:tc>
      </w:tr>
      <w:tr>
        <w:tc>
          <w:tcPr>
            <w:tcW w:type="dxa" w:w="4968"/>
            <w:vAlign w:val="top"/>
          </w:tcPr>
          <w:p>
            <w:r>
              <w:t>Beneficiary</w:t>
            </w:r>
          </w:p>
        </w:tc>
        <w:tc>
          <w:tcPr>
            <w:tcW w:type="dxa" w:w="4968"/>
            <w:vAlign w:val="top"/>
          </w:tcPr>
          <w:p>
            <w:r>
              <w:t>The person or organization designated to receive a payment or transfer.</w:t>
            </w:r>
          </w:p>
        </w:tc>
      </w:tr>
      <w:tr>
        <w:tc>
          <w:tcPr>
            <w:tcW w:type="dxa" w:w="4968"/>
            <w:vAlign w:val="top"/>
          </w:tcPr>
          <w:p>
            <w:r>
              <w:t>Credit Score</w:t>
            </w:r>
          </w:p>
        </w:tc>
        <w:tc>
          <w:tcPr>
            <w:tcW w:type="dxa" w:w="4968"/>
            <w:vAlign w:val="top"/>
          </w:tcPr>
          <w:p>
            <w:r>
              <w:t>A numerical representation of credit-related risk based on available credit information.</w:t>
            </w:r>
          </w:p>
        </w:tc>
      </w:tr>
      <w:tr>
        <w:tc>
          <w:tcPr>
            <w:tcW w:type="dxa" w:w="4968"/>
            <w:vAlign w:val="top"/>
          </w:tcPr>
          <w:p>
            <w:r>
              <w:t>Debt-to-Income Ratio</w:t>
            </w:r>
          </w:p>
        </w:tc>
        <w:tc>
          <w:tcPr>
            <w:tcW w:type="dxa" w:w="4968"/>
            <w:vAlign w:val="top"/>
          </w:tcPr>
          <w:p>
            <w:r>
              <w:t>Monthly debt obligations divided by gross monthly income, expressed as a percentage.</w:t>
            </w:r>
          </w:p>
        </w:tc>
      </w:tr>
      <w:tr>
        <w:tc>
          <w:tcPr>
            <w:tcW w:type="dxa" w:w="4968"/>
            <w:vAlign w:val="top"/>
          </w:tcPr>
          <w:p>
            <w:r>
              <w:t>Debit Card</w:t>
            </w:r>
          </w:p>
        </w:tc>
        <w:tc>
          <w:tcPr>
            <w:tcW w:type="dxa" w:w="4968"/>
            <w:vAlign w:val="top"/>
          </w:tcPr>
          <w:p>
            <w:r>
              <w:t>A payment card that normally accesses funds held in a linked account.</w:t>
            </w:r>
          </w:p>
        </w:tc>
      </w:tr>
      <w:tr>
        <w:tc>
          <w:tcPr>
            <w:tcW w:type="dxa" w:w="4968"/>
            <w:vAlign w:val="top"/>
          </w:tcPr>
          <w:p>
            <w:r>
              <w:t>Fraud Alert</w:t>
            </w:r>
          </w:p>
        </w:tc>
        <w:tc>
          <w:tcPr>
            <w:tcW w:type="dxa" w:w="4968"/>
            <w:vAlign w:val="top"/>
          </w:tcPr>
          <w:p>
            <w:r>
              <w:t>A system-generated signal indicating potentially suspicious activity.</w:t>
            </w:r>
          </w:p>
        </w:tc>
      </w:tr>
      <w:tr>
        <w:tc>
          <w:tcPr>
            <w:tcW w:type="dxa" w:w="4968"/>
            <w:vAlign w:val="top"/>
          </w:tcPr>
          <w:p>
            <w:r>
              <w:t>IBAN</w:t>
            </w:r>
          </w:p>
        </w:tc>
        <w:tc>
          <w:tcPr>
            <w:tcW w:type="dxa" w:w="4968"/>
            <w:vAlign w:val="top"/>
          </w:tcPr>
          <w:p>
            <w:r>
              <w:t>An international bank account number used to identify an account for supported transfers.</w:t>
            </w:r>
          </w:p>
        </w:tc>
      </w:tr>
      <w:tr>
        <w:tc>
          <w:tcPr>
            <w:tcW w:type="dxa" w:w="4968"/>
            <w:vAlign w:val="top"/>
          </w:tcPr>
          <w:p>
            <w:r>
              <w:t>KYC</w:t>
            </w:r>
          </w:p>
        </w:tc>
        <w:tc>
          <w:tcPr>
            <w:tcW w:type="dxa" w:w="4968"/>
            <w:vAlign w:val="top"/>
          </w:tcPr>
          <w:p>
            <w:r>
              <w:t>Know Your Customer, the process of verifying customer identity and relevant profile information.</w:t>
            </w:r>
          </w:p>
        </w:tc>
      </w:tr>
      <w:tr>
        <w:tc>
          <w:tcPr>
            <w:tcW w:type="dxa" w:w="4968"/>
            <w:vAlign w:val="top"/>
          </w:tcPr>
          <w:p>
            <w:r>
              <w:t>OTP</w:t>
            </w:r>
          </w:p>
        </w:tc>
        <w:tc>
          <w:tcPr>
            <w:tcW w:type="dxa" w:w="4968"/>
            <w:vAlign w:val="top"/>
          </w:tcPr>
          <w:p>
            <w:r>
              <w:t>One-time password used for an authentication or transaction-verification event.</w:t>
            </w:r>
          </w:p>
        </w:tc>
      </w:tr>
      <w:tr>
        <w:tc>
          <w:tcPr>
            <w:tcW w:type="dxa" w:w="4968"/>
            <w:vAlign w:val="top"/>
          </w:tcPr>
          <w:p>
            <w:r>
              <w:t>RAG</w:t>
            </w:r>
          </w:p>
        </w:tc>
        <w:tc>
          <w:tcPr>
            <w:tcW w:type="dxa" w:w="4968"/>
            <w:vAlign w:val="top"/>
          </w:tcPr>
          <w:p>
            <w:r>
              <w:t>Retrieval-Augmented Generation, a technique that retrieves relevant documents before generating an answer.</w:t>
            </w:r>
          </w:p>
        </w:tc>
      </w:tr>
      <w:tr>
        <w:tc>
          <w:tcPr>
            <w:tcW w:type="dxa" w:w="4968"/>
            <w:vAlign w:val="top"/>
          </w:tcPr>
          <w:p>
            <w:r>
              <w:t>Risk Score</w:t>
            </w:r>
          </w:p>
        </w:tc>
        <w:tc>
          <w:tcPr>
            <w:tcW w:type="dxa" w:w="4968"/>
            <w:vAlign w:val="top"/>
          </w:tcPr>
          <w:p>
            <w:r>
              <w:t>An internal or analytical measure representing the assessed level of risk.</w:t>
            </w:r>
          </w:p>
        </w:tc>
      </w:tr>
      <w:tr>
        <w:tc>
          <w:tcPr>
            <w:tcW w:type="dxa" w:w="4968"/>
            <w:vAlign w:val="top"/>
          </w:tcPr>
          <w:p>
            <w:r>
              <w:t>Transaction</w:t>
            </w:r>
          </w:p>
        </w:tc>
        <w:tc>
          <w:tcPr>
            <w:tcW w:type="dxa" w:w="4968"/>
            <w:vAlign w:val="top"/>
          </w:tcPr>
          <w:p>
            <w:r>
              <w:t>A financial event such as a deposit, withdrawal, transfer, purchase, or payment.</w:t>
            </w:r>
          </w:p>
        </w:tc>
      </w:tr>
      <w:tr>
        <w:tc>
          <w:tcPr>
            <w:tcW w:type="dxa" w:w="4968"/>
            <w:vAlign w:val="top"/>
          </w:tcPr>
          <w:p>
            <w:r>
              <w:t>DTI</w:t>
            </w:r>
          </w:p>
        </w:tc>
        <w:tc>
          <w:tcPr>
            <w:tcW w:type="dxa" w:w="4968"/>
            <w:vAlign w:val="top"/>
          </w:tcPr>
          <w:p>
            <w:r>
              <w:t>Abbreviation for debt-to-income ratio.</w:t>
            </w:r>
          </w:p>
        </w:tc>
      </w:tr>
      <w:tr>
        <w:tc>
          <w:tcPr>
            <w:tcW w:type="dxa" w:w="4968"/>
            <w:vAlign w:val="top"/>
          </w:tcPr>
          <w:p>
            <w:r>
              <w:t>Authentication</w:t>
            </w:r>
          </w:p>
        </w:tc>
        <w:tc>
          <w:tcPr>
            <w:tcW w:type="dxa" w:w="4968"/>
            <w:vAlign w:val="top"/>
          </w:tcPr>
          <w:p>
            <w:r>
              <w:t>The process of verifying that a user is who they claim to be.</w:t>
            </w:r>
          </w:p>
        </w:tc>
      </w:tr>
      <w:tr>
        <w:tc>
          <w:tcPr>
            <w:tcW w:type="dxa" w:w="4968"/>
            <w:vAlign w:val="top"/>
          </w:tcPr>
          <w:p>
            <w:r>
              <w:t>Authorization</w:t>
            </w:r>
          </w:p>
        </w:tc>
        <w:tc>
          <w:tcPr>
            <w:tcW w:type="dxa" w:w="4968"/>
            <w:vAlign w:val="top"/>
          </w:tcPr>
          <w:p>
            <w:r>
              <w:t>The process of determining whether an authenticated user or system is permitted to perform an action.</w:t>
            </w:r>
          </w:p>
        </w:tc>
      </w:tr>
      <w:tr>
        <w:tc>
          <w:tcPr>
            <w:tcW w:type="dxa" w:w="4968"/>
            <w:vAlign w:val="top"/>
          </w:tcPr>
          <w:p>
            <w:r>
              <w:t>Least Privilege</w:t>
            </w:r>
          </w:p>
        </w:tc>
        <w:tc>
          <w:tcPr>
            <w:tcW w:type="dxa" w:w="4968"/>
            <w:vAlign w:val="top"/>
          </w:tcPr>
          <w:p>
            <w:r>
              <w:t>Providing only the minimum access necessary to perform an authorized task.</w:t>
            </w:r>
          </w:p>
        </w:tc>
      </w:tr>
    </w:tbl>
    <w:p/>
    <w:p>
      <w:pPr>
        <w:pStyle w:val="Heading1"/>
      </w:pPr>
      <w:r>
        <w:t>16. Frequently Asked Questions</w:t>
      </w:r>
    </w:p>
    <w:p>
      <w:r>
        <w:rPr>
          <w:b/>
        </w:rPr>
        <w:t>Q: What is the minimum opening deposit for a Nexa Current Account?</w:t>
      </w:r>
    </w:p>
    <w:p>
      <w:r>
        <w:t>A: PKR 5,000.</w:t>
      </w:r>
    </w:p>
    <w:p>
      <w:r>
        <w:rPr>
          <w:b/>
        </w:rPr>
        <w:t>Q: What is the minimum balance for a Nexa Current Account?</w:t>
      </w:r>
    </w:p>
    <w:p>
      <w:r>
        <w:t>A: PKR 1,000.</w:t>
      </w:r>
    </w:p>
    <w:p>
      <w:r>
        <w:rPr>
          <w:b/>
        </w:rPr>
        <w:t>Q: What is the current account monthly fee?</w:t>
      </w:r>
    </w:p>
    <w:p>
      <w:r>
        <w:t>A: PKR 250, with a prototype fee waiver at an average monthly balance of PKR 50,000 or more.</w:t>
      </w:r>
    </w:p>
    <w:p>
      <w:r>
        <w:rPr>
          <w:b/>
        </w:rPr>
        <w:t>Q: What is the minimum opening deposit for a Savings Account?</w:t>
      </w:r>
    </w:p>
    <w:p>
      <w:r>
        <w:t>A: PKR 10,000.</w:t>
      </w:r>
    </w:p>
    <w:p>
      <w:r>
        <w:rPr>
          <w:b/>
        </w:rPr>
        <w:t>Q: Does the Student Account have a monthly maintenance fee?</w:t>
      </w:r>
    </w:p>
    <w:p>
      <w:r>
        <w:t>A: No.</w:t>
      </w:r>
    </w:p>
    <w:p>
      <w:r>
        <w:rPr>
          <w:b/>
        </w:rPr>
        <w:t>Q: Who can apply for the Student Account?</w:t>
      </w:r>
    </w:p>
    <w:p>
      <w:r>
        <w:t>A: Students aged 18 to 28 who meet the required identification and enrollment requirements.</w:t>
      </w:r>
    </w:p>
    <w:p>
      <w:r>
        <w:rPr>
          <w:b/>
        </w:rPr>
        <w:t>Q: What is the standard daily digital transfer limit?</w:t>
      </w:r>
    </w:p>
    <w:p>
      <w:r>
        <w:t>A: PKR 500,000.</w:t>
      </w:r>
    </w:p>
    <w:p>
      <w:r>
        <w:rPr>
          <w:b/>
        </w:rPr>
        <w:t>Q: What is the daily ATM withdrawal limit?</w:t>
      </w:r>
    </w:p>
    <w:p>
      <w:r>
        <w:t>A: PKR 100,000.</w:t>
      </w:r>
    </w:p>
    <w:p>
      <w:r>
        <w:rPr>
          <w:b/>
        </w:rPr>
        <w:t>Q: What is the daily merchant transaction limit?</w:t>
      </w:r>
    </w:p>
    <w:p>
      <w:r>
        <w:t>A: PKR 300,000.</w:t>
      </w:r>
    </w:p>
    <w:p>
      <w:r>
        <w:rPr>
          <w:b/>
        </w:rPr>
        <w:t>Q: What is the maximum personal financing amount?</w:t>
      </w:r>
    </w:p>
    <w:p>
      <w:r>
        <w:t>A: PKR 5,000,000 in the prototype.</w:t>
      </w:r>
    </w:p>
    <w:p>
      <w:r>
        <w:rPr>
          <w:b/>
        </w:rPr>
        <w:t>Q: What is the minimum personal financing amount?</w:t>
      </w:r>
    </w:p>
    <w:p>
      <w:r>
        <w:t>A: PKR 100,000 in the prototype.</w:t>
      </w:r>
    </w:p>
    <w:p>
      <w:r>
        <w:rPr>
          <w:b/>
        </w:rPr>
        <w:t>Q: What is the minimum age for personal financing?</w:t>
      </w:r>
    </w:p>
    <w:p>
      <w:r>
        <w:t>A: 21 years.</w:t>
      </w:r>
    </w:p>
    <w:p>
      <w:r>
        <w:rPr>
          <w:b/>
        </w:rPr>
        <w:t>Q: What DTI is considered high concern?</w:t>
      </w:r>
    </w:p>
    <w:p>
      <w:r>
        <w:t>A: 40% to 50% is high concern; above 50% normally requires enhanced review.</w:t>
      </w:r>
    </w:p>
    <w:p>
      <w:r>
        <w:rPr>
          <w:b/>
        </w:rPr>
        <w:t>Q: Does meeting the DTI requirement guarantee financing approval?</w:t>
      </w:r>
    </w:p>
    <w:p>
      <w:r>
        <w:t>A: No. Other credit, income, documentation, and risk factors apply.</w:t>
      </w:r>
    </w:p>
    <w:p>
      <w:r>
        <w:rPr>
          <w:b/>
        </w:rPr>
        <w:t>Q: What should I do if my card is lost?</w:t>
      </w:r>
    </w:p>
    <w:p>
      <w:r>
        <w:t>A: Freeze the card and contact the bank. If unauthorized activity is suspected, contact the fraud hotline immediately.</w:t>
      </w:r>
    </w:p>
    <w:p>
      <w:r>
        <w:rPr>
          <w:b/>
        </w:rPr>
        <w:t>Q: Should I share my OTP with bank staff?</w:t>
      </w:r>
    </w:p>
    <w:p>
      <w:r>
        <w:t>A: No. OTPs must never be disclosed to another person.</w:t>
      </w:r>
    </w:p>
    <w:p>
      <w:r>
        <w:rPr>
          <w:b/>
        </w:rPr>
        <w:t>Q: Can the AI approve my loan?</w:t>
      </w:r>
    </w:p>
    <w:p>
      <w:r>
        <w:t>A: No. The AI can provide an assessment, but formal approval must come from the authorized banking decision system.</w:t>
      </w:r>
    </w:p>
    <w:p>
      <w:r>
        <w:rPr>
          <w:b/>
        </w:rPr>
        <w:t>Q: Can the AI tell me my account balance?</w:t>
      </w:r>
    </w:p>
    <w:p>
      <w:r>
        <w:t>A: Only when an authorized account-balance tool retrieves the customer's current balance.</w:t>
      </w:r>
    </w:p>
    <w:p>
      <w:r>
        <w:rPr>
          <w:b/>
        </w:rPr>
        <w:t>Q: Can the AI retrieve another customer's account?</w:t>
      </w:r>
    </w:p>
    <w:p>
      <w:r>
        <w:t>A: No. Customer data is protected by authentication and authorization controls.</w:t>
      </w:r>
    </w:p>
    <w:p>
      <w:r>
        <w:rPr>
          <w:b/>
        </w:rPr>
        <w:t>Q: What if the AI does not know the answer?</w:t>
      </w:r>
    </w:p>
    <w:p>
      <w:r>
        <w:t>A: It should state that the information is unavailable and avoid inventing an answer.</w:t>
      </w:r>
    </w:p>
    <w:p>
      <w:pPr>
        <w:pStyle w:val="Heading1"/>
      </w:pPr>
      <w:r>
        <w:t>17. Policy Decision Examples and Edge Cases</w:t>
      </w:r>
    </w:p>
    <w:p>
      <w:pPr>
        <w:pStyle w:val="Heading2"/>
      </w:pPr>
      <w:r>
        <w:t>17.1 Customer Asks for a Balance Without Authentication</w:t>
      </w:r>
    </w:p>
    <w:p>
      <w:r>
        <w:t>The assistant must not disclose a customer-specific balance. It should request authentication through the authorized banking channel or explain that it cannot access protected information.</w:t>
      </w:r>
    </w:p>
    <w:p>
      <w:pPr>
        <w:pStyle w:val="Heading2"/>
      </w:pPr>
      <w:r>
        <w:t>17.2 Customer Has DTI of 52%</w:t>
      </w:r>
    </w:p>
    <w:p>
      <w:r>
        <w:t>The customer falls into the above-50% category and normally requires enhanced review. The AI must not automatically reject the customer unless the authorized credit policy explicitly provides an automatic rejection rule.</w:t>
      </w:r>
    </w:p>
    <w:p>
      <w:pPr>
        <w:pStyle w:val="Heading2"/>
      </w:pPr>
      <w:r>
        <w:t>17.3 Customer Has DTI of 25% but Poor Credit History</w:t>
      </w:r>
    </w:p>
    <w:p>
      <w:r>
        <w:t>Low DTI alone does not establish eligibility. The AI should explain that credit history and other underwriting criteria remain relevant.</w:t>
      </w:r>
    </w:p>
    <w:p>
      <w:pPr>
        <w:pStyle w:val="Heading2"/>
      </w:pPr>
      <w:r>
        <w:t>17.4 Customer Requests PKR 6 Million Personal Financing</w:t>
      </w:r>
    </w:p>
    <w:p>
      <w:r>
        <w:t>The requested amount exceeds the prototype personal financing maximum of PKR 5 million. The AI should explain that the requested amount is outside the documented prototype product range and should not imply that an exception exists.</w:t>
      </w:r>
    </w:p>
    <w:p>
      <w:pPr>
        <w:pStyle w:val="Heading2"/>
      </w:pPr>
      <w:r>
        <w:t>17.5 Customer Reports an Unauthorized Transaction</w:t>
      </w:r>
    </w:p>
    <w:p>
      <w:r>
        <w:t>The AI should prioritize account protection and escalation. It should guide the customer to freeze the relevant card or account where possible and contact the 24-hour fraud hotline.</w:t>
      </w:r>
    </w:p>
    <w:p>
      <w:pPr>
        <w:pStyle w:val="Heading2"/>
      </w:pPr>
      <w:r>
        <w:t>17.6 Customer Asks Why a Transaction Was Flagged</w:t>
      </w:r>
    </w:p>
    <w:p>
      <w:r>
        <w:t>The AI may explain general fraud-monitoring concepts but should not disclose sensitive detection logic, internal thresholds, or confidential monitoring rules.</w:t>
      </w:r>
    </w:p>
    <w:p>
      <w:pPr>
        <w:pStyle w:val="Heading2"/>
      </w:pPr>
      <w:r>
        <w:t>17.7 Policy Document and Customer Record Conflict</w:t>
      </w:r>
    </w:p>
    <w:p>
      <w:r>
        <w:t>For general policy, the current policy document is authoritative. For customer-specific facts, the authorized live or synthetic banking system is authoritative. The AI should not overwrite one with the other.</w:t>
      </w:r>
    </w:p>
    <w:p>
      <w:pPr>
        <w:pStyle w:val="Heading2"/>
      </w:pPr>
      <w:r>
        <w:t>17.8 Static RAG Data and Future Live Data</w:t>
      </w:r>
    </w:p>
    <w:p>
      <w:r>
        <w:t>If the prototype is later connected to live banking services, live authorized data should supersede synthetic customer records for customer-specific questions. Static policy documents should be versioned and updated when policy changes.</w:t>
      </w:r>
    </w:p>
    <w:p>
      <w:pPr>
        <w:pStyle w:val="Heading1"/>
      </w:pPr>
      <w:r>
        <w:t>18. Retrieval-Oriented Knowledge Notes</w:t>
      </w:r>
    </w:p>
    <w:p>
      <w:r>
        <w:t>The following statements are intentionally explicit because they represent concepts that customers may ask using different wording. A retrieval system should be able to map synonyms and related questions to these concepts.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Concept</w:t>
            </w:r>
          </w:p>
        </w:tc>
        <w:tc>
          <w:tcPr>
            <w:tcW w:type="dxa" w:w="4968"/>
          </w:tcPr>
          <w:p>
            <w:r>
              <w:rPr>
                <w:b/>
              </w:rPr>
              <w:t>Equivalent User Expressions</w:t>
            </w:r>
          </w:p>
        </w:tc>
      </w:tr>
      <w:tr>
        <w:tc>
          <w:tcPr>
            <w:tcW w:type="dxa" w:w="4968"/>
            <w:vAlign w:val="top"/>
          </w:tcPr>
          <w:p>
            <w:r>
              <w:t>Debt-to-income ratio</w:t>
            </w:r>
          </w:p>
        </w:tc>
        <w:tc>
          <w:tcPr>
            <w:tcW w:type="dxa" w:w="4968"/>
            <w:vAlign w:val="top"/>
          </w:tcPr>
          <w:p>
            <w:r>
              <w:t>DTI, debt ratio, income-to-debt ratio, debt burden</w:t>
            </w:r>
          </w:p>
        </w:tc>
      </w:tr>
      <w:tr>
        <w:tc>
          <w:tcPr>
            <w:tcW w:type="dxa" w:w="4968"/>
            <w:vAlign w:val="top"/>
          </w:tcPr>
          <w:p>
            <w:r>
              <w:t>Fraud</w:t>
            </w:r>
          </w:p>
        </w:tc>
        <w:tc>
          <w:tcPr>
            <w:tcW w:type="dxa" w:w="4968"/>
            <w:vAlign w:val="top"/>
          </w:tcPr>
          <w:p>
            <w:r>
              <w:t>unauthorized transaction, suspicious activity, account compromise</w:t>
            </w:r>
          </w:p>
        </w:tc>
      </w:tr>
      <w:tr>
        <w:tc>
          <w:tcPr>
            <w:tcW w:type="dxa" w:w="4968"/>
            <w:vAlign w:val="top"/>
          </w:tcPr>
          <w:p>
            <w:r>
              <w:t>Debit card</w:t>
            </w:r>
          </w:p>
        </w:tc>
        <w:tc>
          <w:tcPr>
            <w:tcW w:type="dxa" w:w="4968"/>
            <w:vAlign w:val="top"/>
          </w:tcPr>
          <w:p>
            <w:r>
              <w:t>ATM card, bank card, payment card</w:t>
            </w:r>
          </w:p>
        </w:tc>
      </w:tr>
      <w:tr>
        <w:tc>
          <w:tcPr>
            <w:tcW w:type="dxa" w:w="4968"/>
            <w:vAlign w:val="top"/>
          </w:tcPr>
          <w:p>
            <w:r>
              <w:t>Personal financing</w:t>
            </w:r>
          </w:p>
        </w:tc>
        <w:tc>
          <w:tcPr>
            <w:tcW w:type="dxa" w:w="4968"/>
            <w:vAlign w:val="top"/>
          </w:tcPr>
          <w:p>
            <w:r>
              <w:t>personal loan, consumer loan, borrowing, financing</w:t>
            </w:r>
          </w:p>
        </w:tc>
      </w:tr>
      <w:tr>
        <w:tc>
          <w:tcPr>
            <w:tcW w:type="dxa" w:w="4968"/>
            <w:vAlign w:val="top"/>
          </w:tcPr>
          <w:p>
            <w:r>
              <w:t>Beneficiary</w:t>
            </w:r>
          </w:p>
        </w:tc>
        <w:tc>
          <w:tcPr>
            <w:tcW w:type="dxa" w:w="4968"/>
            <w:vAlign w:val="top"/>
          </w:tcPr>
          <w:p>
            <w:r>
              <w:t>recipient, payee, transfer recipient</w:t>
            </w:r>
          </w:p>
        </w:tc>
      </w:tr>
      <w:tr>
        <w:tc>
          <w:tcPr>
            <w:tcW w:type="dxa" w:w="4968"/>
            <w:vAlign w:val="top"/>
          </w:tcPr>
          <w:p>
            <w:r>
              <w:t>Authentication</w:t>
            </w:r>
          </w:p>
        </w:tc>
        <w:tc>
          <w:tcPr>
            <w:tcW w:type="dxa" w:w="4968"/>
            <w:vAlign w:val="top"/>
          </w:tcPr>
          <w:p>
            <w:r>
              <w:t>identity verification, login verification, security verification</w:t>
            </w:r>
          </w:p>
        </w:tc>
      </w:tr>
      <w:tr>
        <w:tc>
          <w:tcPr>
            <w:tcW w:type="dxa" w:w="4968"/>
            <w:vAlign w:val="top"/>
          </w:tcPr>
          <w:p>
            <w:r>
              <w:t>OTP</w:t>
            </w:r>
          </w:p>
        </w:tc>
        <w:tc>
          <w:tcPr>
            <w:tcW w:type="dxa" w:w="4968"/>
            <w:vAlign w:val="top"/>
          </w:tcPr>
          <w:p>
            <w:r>
              <w:t>one-time password, verification code, security code</w:t>
            </w:r>
          </w:p>
        </w:tc>
      </w:tr>
      <w:tr>
        <w:tc>
          <w:tcPr>
            <w:tcW w:type="dxa" w:w="4968"/>
            <w:vAlign w:val="top"/>
          </w:tcPr>
          <w:p>
            <w:r>
              <w:t>Current account</w:t>
            </w:r>
          </w:p>
        </w:tc>
        <w:tc>
          <w:tcPr>
            <w:tcW w:type="dxa" w:w="4968"/>
            <w:vAlign w:val="top"/>
          </w:tcPr>
          <w:p>
            <w:r>
              <w:t>transaction account, checking-style account</w:t>
            </w:r>
          </w:p>
        </w:tc>
      </w:tr>
      <w:tr>
        <w:tc>
          <w:tcPr>
            <w:tcW w:type="dxa" w:w="4968"/>
            <w:vAlign w:val="top"/>
          </w:tcPr>
          <w:p>
            <w:r>
              <w:t>Savings account</w:t>
            </w:r>
          </w:p>
        </w:tc>
        <w:tc>
          <w:tcPr>
            <w:tcW w:type="dxa" w:w="4968"/>
            <w:vAlign w:val="top"/>
          </w:tcPr>
          <w:p>
            <w:r>
              <w:t>saving account, deposit savings account</w:t>
            </w:r>
          </w:p>
        </w:tc>
      </w:tr>
    </w:tbl>
    <w:p/>
    <w:p>
      <w:pPr>
        <w:pStyle w:val="Heading1"/>
      </w:pPr>
      <w:r>
        <w:t>19. Document Governance</w:t>
      </w:r>
    </w:p>
    <w:p>
      <w:pPr>
        <w:pStyle w:val="Heading2"/>
      </w:pPr>
      <w:r>
        <w:t>19.1 Version Control</w:t>
      </w:r>
    </w:p>
    <w:p>
      <w:r>
        <w:t>Every policy or product document should carry a version, effective date, owner, and status. When a policy changes, the previous version should not remain indistinguishable from the current version in the retrieval index.</w:t>
      </w:r>
    </w:p>
    <w:p>
      <w:pPr>
        <w:pStyle w:val="Heading2"/>
      </w:pPr>
      <w:r>
        <w:t>19.2 Recommended Metadata for RAG Chunks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Metadata Field</w:t>
            </w:r>
          </w:p>
        </w:tc>
        <w:tc>
          <w:tcPr>
            <w:tcW w:type="dxa" w:w="4968"/>
          </w:tcPr>
          <w:p>
            <w:r>
              <w:rPr>
                <w:b/>
              </w:rPr>
              <w:t>Example</w:t>
            </w:r>
          </w:p>
        </w:tc>
      </w:tr>
      <w:tr>
        <w:tc>
          <w:tcPr>
            <w:tcW w:type="dxa" w:w="4968"/>
            <w:vAlign w:val="top"/>
          </w:tcPr>
          <w:p>
            <w:r>
              <w:t>document_id</w:t>
            </w:r>
          </w:p>
        </w:tc>
        <w:tc>
          <w:tcPr>
            <w:tcW w:type="dxa" w:w="4968"/>
            <w:vAlign w:val="top"/>
          </w:tcPr>
          <w:p>
            <w:r>
              <w:t>NB-POL-LOAN-001</w:t>
            </w:r>
          </w:p>
        </w:tc>
      </w:tr>
      <w:tr>
        <w:tc>
          <w:tcPr>
            <w:tcW w:type="dxa" w:w="4968"/>
            <w:vAlign w:val="top"/>
          </w:tcPr>
          <w:p>
            <w:r>
              <w:t>title</w:t>
            </w:r>
          </w:p>
        </w:tc>
        <w:tc>
          <w:tcPr>
            <w:tcW w:type="dxa" w:w="4968"/>
            <w:vAlign w:val="top"/>
          </w:tcPr>
          <w:p>
            <w:r>
              <w:t>Personal Financing Eligibility</w:t>
            </w:r>
          </w:p>
        </w:tc>
      </w:tr>
      <w:tr>
        <w:tc>
          <w:tcPr>
            <w:tcW w:type="dxa" w:w="4968"/>
            <w:vAlign w:val="top"/>
          </w:tcPr>
          <w:p>
            <w:r>
              <w:t>department</w:t>
            </w:r>
          </w:p>
        </w:tc>
        <w:tc>
          <w:tcPr>
            <w:tcW w:type="dxa" w:w="4968"/>
            <w:vAlign w:val="top"/>
          </w:tcPr>
          <w:p>
            <w:r>
              <w:t>Consumer Lending</w:t>
            </w:r>
          </w:p>
        </w:tc>
      </w:tr>
      <w:tr>
        <w:tc>
          <w:tcPr>
            <w:tcW w:type="dxa" w:w="4968"/>
            <w:vAlign w:val="top"/>
          </w:tcPr>
          <w:p>
            <w:r>
              <w:t>document_type</w:t>
            </w:r>
          </w:p>
        </w:tc>
        <w:tc>
          <w:tcPr>
            <w:tcW w:type="dxa" w:w="4968"/>
            <w:vAlign w:val="top"/>
          </w:tcPr>
          <w:p>
            <w:r>
              <w:t>Policy</w:t>
            </w:r>
          </w:p>
        </w:tc>
      </w:tr>
      <w:tr>
        <w:tc>
          <w:tcPr>
            <w:tcW w:type="dxa" w:w="4968"/>
            <w:vAlign w:val="top"/>
          </w:tcPr>
          <w:p>
            <w:r>
              <w:t>version</w:t>
            </w:r>
          </w:p>
        </w:tc>
        <w:tc>
          <w:tcPr>
            <w:tcW w:type="dxa" w:w="4968"/>
            <w:vAlign w:val="top"/>
          </w:tcPr>
          <w:p>
            <w:r>
              <w:t>2.0</w:t>
            </w:r>
          </w:p>
        </w:tc>
      </w:tr>
      <w:tr>
        <w:tc>
          <w:tcPr>
            <w:tcW w:type="dxa" w:w="4968"/>
            <w:vAlign w:val="top"/>
          </w:tcPr>
          <w:p>
            <w:r>
              <w:t>effective_date</w:t>
            </w:r>
          </w:p>
        </w:tc>
        <w:tc>
          <w:tcPr>
            <w:tcW w:type="dxa" w:w="4968"/>
            <w:vAlign w:val="top"/>
          </w:tcPr>
          <w:p>
            <w:r>
              <w:t>2026-01-01</w:t>
            </w:r>
          </w:p>
        </w:tc>
      </w:tr>
      <w:tr>
        <w:tc>
          <w:tcPr>
            <w:tcW w:type="dxa" w:w="4968"/>
            <w:vAlign w:val="top"/>
          </w:tcPr>
          <w:p>
            <w:r>
              <w:t>status</w:t>
            </w:r>
          </w:p>
        </w:tc>
        <w:tc>
          <w:tcPr>
            <w:tcW w:type="dxa" w:w="4968"/>
            <w:vAlign w:val="top"/>
          </w:tcPr>
          <w:p>
            <w:r>
              <w:t>Active</w:t>
            </w:r>
          </w:p>
        </w:tc>
      </w:tr>
      <w:tr>
        <w:tc>
          <w:tcPr>
            <w:tcW w:type="dxa" w:w="4968"/>
            <w:vAlign w:val="top"/>
          </w:tcPr>
          <w:p>
            <w:r>
              <w:t>access_level</w:t>
            </w:r>
          </w:p>
        </w:tc>
        <w:tc>
          <w:tcPr>
            <w:tcW w:type="dxa" w:w="4968"/>
            <w:vAlign w:val="top"/>
          </w:tcPr>
          <w:p>
            <w:r>
              <w:t>Internal Prototype</w:t>
            </w:r>
          </w:p>
        </w:tc>
      </w:tr>
      <w:tr>
        <w:tc>
          <w:tcPr>
            <w:tcW w:type="dxa" w:w="4968"/>
            <w:vAlign w:val="top"/>
          </w:tcPr>
          <w:p>
            <w:r>
              <w:t>product</w:t>
            </w:r>
          </w:p>
        </w:tc>
        <w:tc>
          <w:tcPr>
            <w:tcW w:type="dxa" w:w="4968"/>
            <w:vAlign w:val="top"/>
          </w:tcPr>
          <w:p>
            <w:r>
              <w:t>Personal Financing</w:t>
            </w:r>
          </w:p>
        </w:tc>
      </w:tr>
      <w:tr>
        <w:tc>
          <w:tcPr>
            <w:tcW w:type="dxa" w:w="4968"/>
            <w:vAlign w:val="top"/>
          </w:tcPr>
          <w:p>
            <w:r>
              <w:t>jurisdiction</w:t>
            </w:r>
          </w:p>
        </w:tc>
        <w:tc>
          <w:tcPr>
            <w:tcW w:type="dxa" w:w="4968"/>
            <w:vAlign w:val="top"/>
          </w:tcPr>
          <w:p>
            <w:r>
              <w:t>Pakistan Prototype</w:t>
            </w:r>
          </w:p>
        </w:tc>
      </w:tr>
    </w:tbl>
    <w:p/>
    <w:p>
      <w:pPr>
        <w:pStyle w:val="Heading2"/>
      </w:pPr>
      <w:r>
        <w:t>19.3 Retrieval Priority</w:t>
      </w:r>
    </w:p>
    <w:p>
      <w:pPr>
        <w:pStyle w:val="ListNumber"/>
      </w:pPr>
      <w:r>
        <w:t>Current active policy documents</w:t>
      </w:r>
    </w:p>
    <w:p>
      <w:pPr>
        <w:pStyle w:val="ListNumber"/>
      </w:pPr>
      <w:r>
        <w:t>Current product documentation</w:t>
      </w:r>
    </w:p>
    <w:p>
      <w:pPr>
        <w:pStyle w:val="ListNumber"/>
      </w:pPr>
      <w:r>
        <w:t>Current procedures and FAQs</w:t>
      </w:r>
    </w:p>
    <w:p>
      <w:pPr>
        <w:pStyle w:val="ListNumber"/>
      </w:pPr>
      <w:r>
        <w:t>Historical documents only when the user explicitly asks about a previous policy</w:t>
      </w:r>
    </w:p>
    <w:p>
      <w:pPr>
        <w:pStyle w:val="ListNumber"/>
      </w:pPr>
      <w:r>
        <w:t>General financial knowledge only when the answer is not a bank-specific policy question</w:t>
      </w:r>
    </w:p>
    <w:p>
      <w:r>
        <w:t>If multiple retrieved documents conflict, the AI system should prefer the document with the most recent effective date and active status, provided the document applies to the same product, jurisdiction, and customer segment.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NexaBank Synthetic Banking Knowledge Base | Prototype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