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AE9FD" w14:textId="77777777" w:rsidR="00D54DB4" w:rsidRPr="0062439C" w:rsidRDefault="00EA5D2D" w:rsidP="00E721A9">
      <w:pPr>
        <w:pStyle w:val="DOP"/>
        <w:tabs>
          <w:tab w:val="left" w:pos="180"/>
        </w:tabs>
      </w:pPr>
      <w:r w:rsidRPr="0062439C">
        <w:t>Date of publication xxxx 00, 0000, date of current version xxxx 00, 0000.</w:t>
      </w:r>
    </w:p>
    <w:p w14:paraId="4F9F8A77" w14:textId="77777777" w:rsidR="00EA5D2D" w:rsidRPr="0062439C" w:rsidRDefault="00EA5D2D" w:rsidP="0062439C">
      <w:pPr>
        <w:pStyle w:val="DOI"/>
      </w:pPr>
      <w:r w:rsidRPr="0062439C">
        <w:t>Digital Object Identifier 10.1109/</w:t>
      </w:r>
      <w:r w:rsidR="00415788" w:rsidRPr="0062439C">
        <w:t>ACCESS. 2017.Doi</w:t>
      </w:r>
      <w:r w:rsidRPr="0062439C">
        <w:t xml:space="preserve"> Number</w:t>
      </w:r>
    </w:p>
    <w:p w14:paraId="368FE54D" w14:textId="5FDC73AC" w:rsidR="00EA5D2D" w:rsidRPr="00084BD2" w:rsidRDefault="00415788" w:rsidP="00105925">
      <w:pPr>
        <w:pStyle w:val="PaperTitle"/>
      </w:pPr>
      <w:r>
        <w:t>Harmful Brain Activity Classification</w:t>
      </w:r>
    </w:p>
    <w:p w14:paraId="495C8E4B" w14:textId="357AC45B" w:rsidR="00EA5D2D" w:rsidRPr="00084BD2" w:rsidRDefault="00141036" w:rsidP="005C261D">
      <w:pPr>
        <w:pStyle w:val="AU"/>
        <w:spacing w:after="0"/>
      </w:pPr>
      <w:r>
        <w:t>Sankalp Khamesra</w:t>
      </w:r>
      <w:r w:rsidR="005C261D" w:rsidRPr="005C261D">
        <w:rPr>
          <w:vertAlign w:val="superscript"/>
        </w:rPr>
        <w:t>1</w:t>
      </w:r>
      <w:r w:rsidR="00084BD2" w:rsidRPr="00084BD2">
        <w:t>, S</w:t>
      </w:r>
      <w:r>
        <w:t>hreyas Bharadwaj</w:t>
      </w:r>
      <w:r w:rsidRPr="005C261D">
        <w:rPr>
          <w:vertAlign w:val="superscript"/>
        </w:rPr>
        <w:t>2</w:t>
      </w:r>
      <w:r w:rsidRPr="00084BD2">
        <w:t>,</w:t>
      </w:r>
      <w:r>
        <w:t xml:space="preserve"> L Moryakantha</w:t>
      </w:r>
      <w:r w:rsidR="005C261D" w:rsidRPr="005C261D">
        <w:rPr>
          <w:vertAlign w:val="superscript"/>
        </w:rPr>
        <w:t>3</w:t>
      </w:r>
      <w:r w:rsidR="00084BD2" w:rsidRPr="00084BD2">
        <w:t xml:space="preserve">, </w:t>
      </w:r>
      <w:r>
        <w:t>Vijaykumar BK</w:t>
      </w:r>
      <w:r>
        <w:rPr>
          <w:vertAlign w:val="superscript"/>
        </w:rPr>
        <w:t>4</w:t>
      </w:r>
    </w:p>
    <w:p w14:paraId="7ECBAC7B" w14:textId="08A5F3E6" w:rsidR="00084BD2" w:rsidRPr="005C261D" w:rsidRDefault="005C261D" w:rsidP="005C261D">
      <w:pPr>
        <w:pStyle w:val="PINoSpace"/>
        <w:ind w:firstLine="0"/>
        <w:rPr>
          <w:sz w:val="14"/>
          <w:szCs w:val="14"/>
        </w:rPr>
      </w:pPr>
      <w:r w:rsidRPr="005C261D">
        <w:rPr>
          <w:sz w:val="14"/>
          <w:szCs w:val="14"/>
          <w:vertAlign w:val="superscript"/>
        </w:rPr>
        <w:t>1</w:t>
      </w:r>
      <w:r w:rsidR="00141036">
        <w:rPr>
          <w:sz w:val="14"/>
          <w:szCs w:val="14"/>
          <w:vertAlign w:val="superscript"/>
        </w:rPr>
        <w:t>,2,3,4</w:t>
      </w:r>
      <w:r w:rsidR="00084BD2" w:rsidRPr="005C261D">
        <w:rPr>
          <w:sz w:val="14"/>
          <w:szCs w:val="14"/>
        </w:rPr>
        <w:t xml:space="preserve"> </w:t>
      </w:r>
      <w:r w:rsidR="00141036">
        <w:t>Department of Artificial Intelligence and Machine Learning, RV College of Engineering, Bengaluru, India</w:t>
      </w:r>
    </w:p>
    <w:p w14:paraId="06260B27" w14:textId="0DE2B4E8" w:rsidR="005C261D" w:rsidRDefault="005C261D" w:rsidP="005C261D">
      <w:pPr>
        <w:pStyle w:val="PI"/>
        <w:spacing w:before="100" w:after="100"/>
        <w:ind w:right="1598" w:firstLine="0"/>
      </w:pPr>
      <w:r>
        <w:t xml:space="preserve">Corresponding author: </w:t>
      </w:r>
      <w:r w:rsidR="003E20ED">
        <w:t>Sankalp Khamesra</w:t>
      </w:r>
      <w:r>
        <w:t xml:space="preserve"> (e-mail: </w:t>
      </w:r>
      <w:r w:rsidR="003E20ED">
        <w:t>sankalpk.ai23@rvce.edu.in</w:t>
      </w:r>
      <w:r>
        <w:t>).</w:t>
      </w:r>
    </w:p>
    <w:p w14:paraId="7C86907C" w14:textId="079BBFEB" w:rsidR="005C261D" w:rsidRDefault="006B3047" w:rsidP="005C261D">
      <w:pPr>
        <w:pStyle w:val="FootnoteText"/>
        <w:spacing w:after="540"/>
        <w:ind w:firstLine="0"/>
      </w:pPr>
      <w:r>
        <w:t>This work was conducted as part of the Experiential Learning at RV College of Engineering, supported by the Department of Artificial Intelligence and Machine Learning.</w:t>
      </w:r>
      <w:r w:rsidR="005C261D">
        <w:t xml:space="preserve"> </w:t>
      </w:r>
    </w:p>
    <w:p w14:paraId="5161E386" w14:textId="2687B596" w:rsidR="00EA5D2D" w:rsidRPr="00364197" w:rsidRDefault="00EA5D2D" w:rsidP="005C3955">
      <w:pPr>
        <w:pStyle w:val="Abstract"/>
      </w:pPr>
      <w:r w:rsidRPr="00887BB0">
        <w:rPr>
          <w:rStyle w:val="H5CharChar"/>
        </w:rPr>
        <w:t>ABSTRACT</w:t>
      </w:r>
      <w:r w:rsidRPr="0062439C">
        <w:t xml:space="preserve"> </w:t>
      </w:r>
      <w:r w:rsidR="00415788">
        <w:t>Electroencephalography (EEG) is a vital diagnostic tool for identifying abnormal brain activity, yet manual interpretation remains time-consuming and subject to expert variability. This study presents a comprehensive evaluation of multiple machine learning models for classifying harmful brain activity using the HMS-Harmful Brain Activity Classification dataset. We implement a multimodal preprocessing pipeline that includes Butterworth bandpass filtering, Median Absolute Deviation (MAD) normalization, spectrogram generation via Short-Time Fourier Transform (STFT), and EEG chain feature extraction inspired by neurologically informed electrode pairings. We benchmark deep learning models (LSTM, ConvLSTM, EfficientNet-based CNNs), traditional classifiers (SVM, Random Forest), and tree-based ensemble learners (XGBoost) on this dataset using both time-domain and frequency-domain inputs. Among all evaluated models, XGBoost achieves the best performance, attaining a validation accuracy of 93.14% and the lowest KL divergence of 0.257. Our results highlight the effectiveness of domain-specific signal processing combined with ensemble learning, offering a scalable and interpretable solution for real-time EEG-based diagnostics. This approach paves the way for clinically deployable systems aimed at the early detection of seizures and other critical neurological conditions.</w:t>
      </w:r>
    </w:p>
    <w:p w14:paraId="33627CE6" w14:textId="77777777" w:rsidR="00D828C6" w:rsidRPr="00887BB0" w:rsidRDefault="00D828C6" w:rsidP="00415788">
      <w:pPr>
        <w:pStyle w:val="IT"/>
        <w:sectPr w:rsidR="00D828C6" w:rsidRPr="00887BB0" w:rsidSect="00422716">
          <w:headerReference w:type="default" r:id="rId8"/>
          <w:footerReference w:type="default" r:id="rId9"/>
          <w:pgSz w:w="11520" w:h="15660" w:code="1"/>
          <w:pgMar w:top="1280" w:right="740" w:bottom="1040" w:left="740" w:header="360" w:footer="500" w:gutter="0"/>
          <w:cols w:space="720"/>
          <w:docGrid w:linePitch="360"/>
        </w:sectPr>
      </w:pPr>
      <w:r w:rsidRPr="007573E5">
        <w:rPr>
          <w:rStyle w:val="H5CharChar"/>
        </w:rPr>
        <w:t>INDEX TERMS</w:t>
      </w:r>
      <w:r w:rsidR="005C3955" w:rsidRPr="007573E5">
        <w:t xml:space="preserve"> </w:t>
      </w:r>
      <w:r w:rsidR="00415788">
        <w:t>ConvLSTM, EEG signal processing, ensemble learning, harmful brain activity classification, HMS dataset, LSTM, machine learning, spectrogram, SVM, XGBoost</w:t>
      </w:r>
    </w:p>
    <w:p w14:paraId="645E48A3" w14:textId="77777777" w:rsidR="00D828C6" w:rsidRPr="005C3955" w:rsidRDefault="00D828C6" w:rsidP="00555F01">
      <w:pPr>
        <w:pStyle w:val="H1NoSpace"/>
      </w:pPr>
      <w:r w:rsidRPr="005C3955">
        <w:t>I.</w:t>
      </w:r>
      <w:r w:rsidR="005E1970">
        <w:rPr>
          <w:rFonts w:ascii="MS Gothic" w:eastAsia="MS Gothic" w:hAnsi="MS Gothic" w:cs="MS Gothic"/>
        </w:rPr>
        <w:t> </w:t>
      </w:r>
      <w:r w:rsidRPr="005C3955">
        <w:t>INTRODUCTION</w:t>
      </w:r>
    </w:p>
    <w:p w14:paraId="10158131" w14:textId="77777777" w:rsidR="009F2ADD" w:rsidRDefault="00703000" w:rsidP="00703000">
      <w:pPr>
        <w:pStyle w:val="H1NoSpace"/>
        <w:jc w:val="both"/>
        <w:rPr>
          <w:rFonts w:ascii="Times New Roman" w:hAnsi="Times New Roman" w:cs="TimesLTStd-Roman"/>
          <w:b w:val="0"/>
          <w:bCs w:val="0"/>
          <w:color w:val="auto"/>
          <w:sz w:val="20"/>
          <w:szCs w:val="20"/>
        </w:rPr>
      </w:pPr>
      <w:r w:rsidRPr="00703000">
        <w:rPr>
          <w:rFonts w:ascii="Times New Roman" w:hAnsi="Times New Roman" w:cs="TimesLTStd-Roman"/>
          <w:b w:val="0"/>
          <w:bCs w:val="0"/>
          <w:color w:val="auto"/>
          <w:sz w:val="20"/>
          <w:szCs w:val="20"/>
        </w:rPr>
        <w:t xml:space="preserve">Electroencephalography (EEG) is a widely used non-invasive technique that captures electrical activity of the brain and is essential for diagnosing a range of neurological disorders, including epilepsy, coma, and encephalopathy [1], [2], [12]. Despite its clinical value, the manual interpretation of EEG recordings remains time-intensive, highly specialized, and prone to variability across experts. A typical patient evaluation may involve hundreds of pages of EEG signal data, demanding significant effort from neurologists and increasing the risk of inter-observer discrepancies [3], [4]. </w:t>
      </w:r>
    </w:p>
    <w:p w14:paraId="2409DE77" w14:textId="77777777" w:rsidR="009F2ADD" w:rsidRDefault="00703000" w:rsidP="00703000">
      <w:pPr>
        <w:pStyle w:val="H1NoSpace"/>
        <w:jc w:val="both"/>
        <w:rPr>
          <w:rFonts w:ascii="Times New Roman" w:hAnsi="Times New Roman" w:cs="TimesLTStd-Roman"/>
          <w:b w:val="0"/>
          <w:bCs w:val="0"/>
          <w:color w:val="auto"/>
          <w:sz w:val="20"/>
          <w:szCs w:val="20"/>
        </w:rPr>
      </w:pPr>
      <w:r w:rsidRPr="00703000">
        <w:rPr>
          <w:rFonts w:ascii="Times New Roman" w:hAnsi="Times New Roman" w:cs="TimesLTStd-Roman"/>
          <w:b w:val="0"/>
          <w:bCs w:val="0"/>
          <w:color w:val="auto"/>
          <w:sz w:val="20"/>
          <w:szCs w:val="20"/>
        </w:rPr>
        <w:t xml:space="preserve">Recent advancements in machine learning (ML) and the availability of large-scale, annotated EEG datasets—such as the Harvard Medical School Harmful Brain Activity Classification dataset from Kaggle—have opened new possibilities for automating EEG interpretation [1], [4], [10]. This dataset contains both raw EEG signals and their corresponding spectrograms, annotated into six clinically significant categories: seizure, generalized periodic discharges (GPD), lateralized periodic discharges (LPD), lateralized rhythmic delta activity (LRDA), generalized </w:t>
      </w:r>
      <w:r w:rsidRPr="00703000">
        <w:rPr>
          <w:rFonts w:ascii="Times New Roman" w:hAnsi="Times New Roman" w:cs="TimesLTStd-Roman"/>
          <w:b w:val="0"/>
          <w:bCs w:val="0"/>
          <w:color w:val="auto"/>
          <w:sz w:val="20"/>
          <w:szCs w:val="20"/>
        </w:rPr>
        <w:t>rhythmic delta activity (GRDA), and other non-specific patterns. In this work, we explore the application of automated classification methods for detecting harmful brain activity using EEG data. Our methodology integrates classical and deep learning models—including Support Vector Machines (SVM), Random Forests, Long Short-Term Memory (LSTM) networks, Convolutional LSTMs (ConvLSTM), and XGBoost-based ensemble learners [3], [4], [6], [9]. EEG preprocessing includes bandpass filtering, MAD-based normalization, electrode chain feature construction, and frequency-domain transformation using Short-Time Fourier Transform (STFT), enabling effective extraction of temporal and spectral information [5], [7].</w:t>
      </w:r>
      <w:r>
        <w:rPr>
          <w:rFonts w:ascii="Times New Roman" w:hAnsi="Times New Roman" w:cs="TimesLTStd-Roman"/>
          <w:b w:val="0"/>
          <w:bCs w:val="0"/>
          <w:color w:val="auto"/>
          <w:sz w:val="20"/>
          <w:szCs w:val="20"/>
        </w:rPr>
        <w:t xml:space="preserve"> </w:t>
      </w:r>
    </w:p>
    <w:p w14:paraId="29A82E68" w14:textId="77777777" w:rsidR="00703000" w:rsidRDefault="00703000" w:rsidP="00703000">
      <w:pPr>
        <w:pStyle w:val="H1NoSpace"/>
        <w:jc w:val="both"/>
        <w:rPr>
          <w:rFonts w:ascii="Times New Roman" w:hAnsi="Times New Roman" w:cs="TimesLTStd-Roman"/>
          <w:b w:val="0"/>
          <w:bCs w:val="0"/>
          <w:color w:val="auto"/>
          <w:sz w:val="20"/>
          <w:szCs w:val="20"/>
        </w:rPr>
      </w:pPr>
      <w:r w:rsidRPr="00703000">
        <w:rPr>
          <w:rFonts w:ascii="Times New Roman" w:hAnsi="Times New Roman" w:cs="TimesLTStd-Roman"/>
          <w:b w:val="0"/>
          <w:bCs w:val="0"/>
          <w:color w:val="auto"/>
          <w:sz w:val="20"/>
          <w:szCs w:val="20"/>
        </w:rPr>
        <w:t>The EEG signals are recorded using the standardized International 10–20 electrode placement system (Fig. 1), which ensures uniform spatial brain coverage across patients [1], [8]. This system facilitates the mapping of neural activity to specific regions, improving the interpretability and generalization of ML-based classifiers.</w:t>
      </w:r>
      <w:r>
        <w:rPr>
          <w:rFonts w:ascii="Times New Roman" w:hAnsi="Times New Roman" w:cs="TimesLTStd-Roman"/>
          <w:b w:val="0"/>
          <w:bCs w:val="0"/>
          <w:color w:val="auto"/>
          <w:sz w:val="20"/>
          <w:szCs w:val="20"/>
        </w:rPr>
        <w:t xml:space="preserve"> </w:t>
      </w:r>
      <w:r w:rsidRPr="00703000">
        <w:rPr>
          <w:rFonts w:ascii="Times New Roman" w:hAnsi="Times New Roman" w:cs="TimesLTStd-Roman"/>
          <w:b w:val="0"/>
          <w:bCs w:val="0"/>
          <w:color w:val="auto"/>
          <w:sz w:val="20"/>
          <w:szCs w:val="20"/>
        </w:rPr>
        <w:t xml:space="preserve">This paper aims to evaluate the relative effectiveness of these models under real-world clinical conditions and develop a scalable </w:t>
      </w:r>
      <w:r w:rsidRPr="00703000">
        <w:rPr>
          <w:rFonts w:ascii="Times New Roman" w:hAnsi="Times New Roman" w:cs="TimesLTStd-Roman"/>
          <w:b w:val="0"/>
          <w:bCs w:val="0"/>
          <w:color w:val="auto"/>
          <w:sz w:val="20"/>
          <w:szCs w:val="20"/>
        </w:rPr>
        <w:lastRenderedPageBreak/>
        <w:t>framework for EEG classification that can reduce clinical workload and enhance diagnostic consistency.</w:t>
      </w:r>
    </w:p>
    <w:p w14:paraId="340927F2" w14:textId="0BE607B4" w:rsidR="00FF7E01" w:rsidRDefault="00C41F0F" w:rsidP="00703000">
      <w:pPr>
        <w:pStyle w:val="H1NoSpace"/>
        <w:jc w:val="both"/>
        <w:rPr>
          <w:rFonts w:ascii="Times New Roman" w:hAnsi="Times New Roman" w:cs="TimesLTStd-Roman"/>
          <w:b w:val="0"/>
          <w:bCs w:val="0"/>
          <w:color w:val="auto"/>
          <w:sz w:val="20"/>
          <w:szCs w:val="20"/>
        </w:rPr>
      </w:pPr>
      <w:r w:rsidRPr="00FF7E01">
        <w:rPr>
          <w:rFonts w:ascii="Times New Roman" w:hAnsi="Times New Roman" w:cs="Times New Roman"/>
          <w:noProof/>
          <w:sz w:val="20"/>
          <w:szCs w:val="20"/>
        </w:rPr>
        <w:drawing>
          <wp:anchor distT="0" distB="0" distL="114300" distR="114300" simplePos="0" relativeHeight="251659264" behindDoc="0" locked="0" layoutInCell="1" allowOverlap="1" wp14:anchorId="40C81B02" wp14:editId="44DA75CD">
            <wp:simplePos x="0" y="0"/>
            <wp:positionH relativeFrom="column">
              <wp:posOffset>425450</wp:posOffset>
            </wp:positionH>
            <wp:positionV relativeFrom="paragraph">
              <wp:posOffset>88265</wp:posOffset>
            </wp:positionV>
            <wp:extent cx="1982470" cy="1793875"/>
            <wp:effectExtent l="0" t="0" r="0" b="0"/>
            <wp:wrapNone/>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2470" cy="179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4E326C" w14:textId="77777777" w:rsidR="00703000" w:rsidRDefault="00703000" w:rsidP="00703000">
      <w:pPr>
        <w:pStyle w:val="H1NoSpace"/>
        <w:jc w:val="both"/>
        <w:rPr>
          <w:rFonts w:ascii="Times New Roman" w:hAnsi="Times New Roman" w:cs="TimesLTStd-Roman"/>
          <w:b w:val="0"/>
          <w:bCs w:val="0"/>
          <w:color w:val="auto"/>
          <w:sz w:val="20"/>
          <w:szCs w:val="20"/>
        </w:rPr>
      </w:pPr>
    </w:p>
    <w:p w14:paraId="78F14C52" w14:textId="77777777" w:rsidR="00703000" w:rsidRDefault="00703000" w:rsidP="00703000">
      <w:pPr>
        <w:pStyle w:val="H1NoSpace"/>
        <w:jc w:val="both"/>
        <w:rPr>
          <w:rFonts w:ascii="Times New Roman" w:hAnsi="Times New Roman" w:cs="TimesLTStd-Roman"/>
          <w:b w:val="0"/>
          <w:bCs w:val="0"/>
          <w:color w:val="auto"/>
          <w:sz w:val="20"/>
          <w:szCs w:val="20"/>
        </w:rPr>
      </w:pPr>
    </w:p>
    <w:p w14:paraId="5C09E5FD" w14:textId="77777777" w:rsidR="00703000" w:rsidRDefault="00703000" w:rsidP="00703000">
      <w:pPr>
        <w:pStyle w:val="H1NoSpace"/>
        <w:jc w:val="both"/>
        <w:rPr>
          <w:rFonts w:ascii="Times New Roman" w:hAnsi="Times New Roman" w:cs="TimesLTStd-Roman"/>
          <w:b w:val="0"/>
          <w:bCs w:val="0"/>
          <w:color w:val="auto"/>
          <w:sz w:val="20"/>
          <w:szCs w:val="20"/>
        </w:rPr>
      </w:pPr>
    </w:p>
    <w:p w14:paraId="02C91306" w14:textId="77777777" w:rsidR="00703000" w:rsidRDefault="00703000" w:rsidP="00703000">
      <w:pPr>
        <w:pStyle w:val="H1NoSpace"/>
        <w:jc w:val="both"/>
        <w:rPr>
          <w:rFonts w:ascii="Times New Roman" w:hAnsi="Times New Roman" w:cs="TimesLTStd-Roman"/>
          <w:b w:val="0"/>
          <w:bCs w:val="0"/>
          <w:color w:val="auto"/>
          <w:sz w:val="20"/>
          <w:szCs w:val="20"/>
        </w:rPr>
      </w:pPr>
    </w:p>
    <w:p w14:paraId="76EB872C" w14:textId="77777777" w:rsidR="00703000" w:rsidRDefault="00703000" w:rsidP="00703000">
      <w:pPr>
        <w:pStyle w:val="H1NoSpace"/>
        <w:jc w:val="both"/>
        <w:rPr>
          <w:rFonts w:ascii="Times New Roman" w:hAnsi="Times New Roman" w:cs="TimesLTStd-Roman"/>
          <w:b w:val="0"/>
          <w:bCs w:val="0"/>
          <w:color w:val="auto"/>
          <w:sz w:val="20"/>
          <w:szCs w:val="20"/>
        </w:rPr>
      </w:pPr>
    </w:p>
    <w:p w14:paraId="44AD9374" w14:textId="77777777" w:rsidR="00703000" w:rsidRDefault="00703000" w:rsidP="00703000">
      <w:pPr>
        <w:pStyle w:val="H1NoSpace"/>
        <w:jc w:val="both"/>
        <w:rPr>
          <w:rFonts w:ascii="Times New Roman" w:hAnsi="Times New Roman" w:cs="TimesLTStd-Roman"/>
          <w:b w:val="0"/>
          <w:bCs w:val="0"/>
          <w:color w:val="auto"/>
          <w:sz w:val="20"/>
          <w:szCs w:val="20"/>
        </w:rPr>
      </w:pPr>
    </w:p>
    <w:p w14:paraId="51FEAC45" w14:textId="77777777" w:rsidR="00FF7E01" w:rsidRDefault="00FF7E01" w:rsidP="00703000">
      <w:pPr>
        <w:pStyle w:val="H1NoSpace"/>
        <w:jc w:val="both"/>
      </w:pPr>
    </w:p>
    <w:p w14:paraId="3223B8D2" w14:textId="77777777" w:rsidR="00FF7E01" w:rsidRDefault="00FF7E01" w:rsidP="00703000">
      <w:pPr>
        <w:pStyle w:val="H1NoSpace"/>
        <w:jc w:val="both"/>
      </w:pPr>
    </w:p>
    <w:p w14:paraId="1F761D65" w14:textId="77777777" w:rsidR="00FF7E01" w:rsidRDefault="00FF7E01" w:rsidP="00703000">
      <w:pPr>
        <w:pStyle w:val="H1NoSpace"/>
        <w:jc w:val="both"/>
      </w:pPr>
    </w:p>
    <w:p w14:paraId="11525BA6" w14:textId="77777777" w:rsidR="00FF7E01" w:rsidRDefault="00FF7E01" w:rsidP="00703000">
      <w:pPr>
        <w:pStyle w:val="H1NoSpace"/>
        <w:jc w:val="both"/>
      </w:pPr>
    </w:p>
    <w:p w14:paraId="1F92AC60" w14:textId="77777777" w:rsidR="00FF7E01" w:rsidRDefault="00FF7E01" w:rsidP="00703000">
      <w:pPr>
        <w:pStyle w:val="H1NoSpace"/>
        <w:jc w:val="both"/>
      </w:pPr>
    </w:p>
    <w:p w14:paraId="58EB93C6" w14:textId="77777777" w:rsidR="00FF7E01" w:rsidRDefault="00FF7E01" w:rsidP="00703000">
      <w:pPr>
        <w:pStyle w:val="H1NoSpace"/>
        <w:jc w:val="both"/>
      </w:pPr>
    </w:p>
    <w:p w14:paraId="6090F5E9" w14:textId="77777777" w:rsidR="00FF7E01" w:rsidRDefault="00FF7E01" w:rsidP="00703000">
      <w:pPr>
        <w:pStyle w:val="H1NoSpace"/>
        <w:jc w:val="both"/>
      </w:pPr>
    </w:p>
    <w:p w14:paraId="3436C376" w14:textId="77777777" w:rsidR="00FF7E01" w:rsidRPr="007368A7" w:rsidRDefault="00FF7E01" w:rsidP="002900FB">
      <w:pPr>
        <w:jc w:val="center"/>
        <w:rPr>
          <w:i/>
          <w:iCs/>
          <w:sz w:val="20"/>
          <w:szCs w:val="20"/>
        </w:rPr>
      </w:pPr>
      <w:r w:rsidRPr="007368A7">
        <w:rPr>
          <w:i/>
          <w:iCs/>
          <w:sz w:val="20"/>
          <w:szCs w:val="20"/>
        </w:rPr>
        <w:t>Fig. 1. Electrode locations of International 10-20 system for encephalography recording</w:t>
      </w:r>
    </w:p>
    <w:p w14:paraId="33F55B36" w14:textId="77777777" w:rsidR="00FF7E01" w:rsidRDefault="00FF7E01" w:rsidP="00703000">
      <w:pPr>
        <w:pStyle w:val="PARAIndent"/>
        <w:ind w:firstLine="0"/>
      </w:pPr>
    </w:p>
    <w:p w14:paraId="66B8FC2F" w14:textId="77777777" w:rsidR="009F2ADD" w:rsidRDefault="00FF7E01" w:rsidP="009F2ADD">
      <w:pPr>
        <w:pStyle w:val="H1NoSpace"/>
        <w:jc w:val="both"/>
      </w:pPr>
      <w:r>
        <w:t>II</w:t>
      </w:r>
      <w:r w:rsidRPr="005C3955">
        <w:t>.</w:t>
      </w:r>
      <w:r>
        <w:rPr>
          <w:rFonts w:ascii="MS Gothic" w:eastAsia="MS Gothic" w:hAnsi="MS Gothic" w:cs="MS Gothic"/>
        </w:rPr>
        <w:t> </w:t>
      </w:r>
      <w:r>
        <w:t>DATASET</w:t>
      </w:r>
    </w:p>
    <w:p w14:paraId="61AF818C" w14:textId="77777777" w:rsidR="009F2ADD" w:rsidRDefault="009F2ADD" w:rsidP="009F2ADD">
      <w:pPr>
        <w:pStyle w:val="H1NoSpace"/>
        <w:jc w:val="both"/>
        <w:rPr>
          <w:rFonts w:ascii="Times New Roman" w:hAnsi="Times New Roman" w:cs="TimesLTStd-Roman"/>
          <w:b w:val="0"/>
          <w:color w:val="auto"/>
          <w:spacing w:val="-2"/>
          <w:sz w:val="20"/>
          <w:szCs w:val="20"/>
        </w:rPr>
      </w:pPr>
      <w:r w:rsidRPr="009F2ADD">
        <w:rPr>
          <w:rFonts w:ascii="Times New Roman" w:hAnsi="Times New Roman" w:cs="TimesLTStd-Roman"/>
          <w:b w:val="0"/>
          <w:color w:val="auto"/>
          <w:spacing w:val="-2"/>
          <w:sz w:val="20"/>
          <w:szCs w:val="20"/>
        </w:rPr>
        <w:t xml:space="preserve">This study leverages the HMS-Harmful Brain Activity Classification dataset released as part of a machine learning competition hosted by Harvard Medical School on the Kaggle platform [1], [9], [10]. The dataset is specifically constructed to support the automated classification of harmful brain activity patterns using electroencephalographic (EEG) signals recorded from critically ill patients in clinical settings. </w:t>
      </w:r>
    </w:p>
    <w:p w14:paraId="2509B5F9" w14:textId="77777777" w:rsidR="009F2ADD" w:rsidRDefault="009F2ADD" w:rsidP="009F2ADD">
      <w:pPr>
        <w:pStyle w:val="H1NoSpace"/>
        <w:jc w:val="both"/>
        <w:rPr>
          <w:rFonts w:ascii="Times New Roman" w:hAnsi="Times New Roman" w:cs="TimesLTStd-Roman"/>
          <w:b w:val="0"/>
          <w:color w:val="auto"/>
          <w:spacing w:val="-2"/>
          <w:sz w:val="20"/>
          <w:szCs w:val="20"/>
        </w:rPr>
      </w:pPr>
      <w:r w:rsidRPr="009F2ADD">
        <w:rPr>
          <w:rFonts w:ascii="Times New Roman" w:hAnsi="Times New Roman" w:cs="TimesLTStd-Roman"/>
          <w:b w:val="0"/>
          <w:color w:val="auto"/>
          <w:spacing w:val="-2"/>
          <w:sz w:val="20"/>
          <w:szCs w:val="20"/>
        </w:rPr>
        <w:t>Each data sample comprises a 50-second EEG segment extracted from a broader 10-minute recording window. This segment is paired with a matched spectrogram covering the same interval. Expert annotators were tasked with reviewing both the raw EEG and corresponding spectrogram and assigning a probabilistic label to the central 10 seconds. This approach preserves temporal context while anchoring classification to a consistent region of interest [1], [10].</w:t>
      </w:r>
    </w:p>
    <w:p w14:paraId="0096CA55" w14:textId="77777777" w:rsidR="009F2ADD" w:rsidRDefault="009F2ADD" w:rsidP="009F2ADD">
      <w:pPr>
        <w:pStyle w:val="H1NoSpace"/>
        <w:jc w:val="both"/>
        <w:rPr>
          <w:rFonts w:ascii="Times New Roman" w:hAnsi="Times New Roman" w:cs="TimesLTStd-Roman"/>
          <w:b w:val="0"/>
          <w:color w:val="auto"/>
          <w:spacing w:val="-2"/>
          <w:sz w:val="20"/>
          <w:szCs w:val="20"/>
        </w:rPr>
      </w:pPr>
      <w:r w:rsidRPr="009F2ADD">
        <w:rPr>
          <w:rFonts w:ascii="Times New Roman" w:hAnsi="Times New Roman" w:cs="TimesLTStd-Roman"/>
          <w:b w:val="0"/>
          <w:color w:val="auto"/>
          <w:spacing w:val="-2"/>
          <w:sz w:val="20"/>
          <w:szCs w:val="20"/>
        </w:rPr>
        <w:t>The dataset defines six distinct brain activity categories: (1) seizures—abnormal, rhythmic, and evolving discharges; (2) lateralized periodic discharges (LPD)—asynchronous patterns localized to one cerebral hemisphere; (3) generalized periodic discharges (GPD)—bilaterally synchronous waveforms associated with widespread brain dysfunction; (4) lateralized rhythmic delta activity (LRDA)—localized delta-frequency rhythmic activity; (5) generalized rhythmic delta activity (GRDA)—symmetric rhythmic delta activity across both hemispheres; and (6) other—which encompasses normal EEG or activity that does not align clearly with the above classes [3], [4], [10].</w:t>
      </w:r>
    </w:p>
    <w:p w14:paraId="33DCCD30" w14:textId="77777777" w:rsidR="000F5247" w:rsidRDefault="009F2ADD" w:rsidP="009F2ADD">
      <w:pPr>
        <w:pStyle w:val="H1NoSpace"/>
        <w:jc w:val="both"/>
      </w:pPr>
      <w:r w:rsidRPr="009F2ADD">
        <w:rPr>
          <w:rFonts w:ascii="Times New Roman" w:hAnsi="Times New Roman" w:cs="TimesLTStd-Roman"/>
          <w:b w:val="0"/>
          <w:color w:val="auto"/>
          <w:spacing w:val="-2"/>
          <w:sz w:val="20"/>
          <w:szCs w:val="20"/>
        </w:rPr>
        <w:t>The training dataset is structured into three primary components. A metadata file (train.csv) links EEG samples to patient identifiers, temporal offsets, expert consensus labels, and vote distributions. Raw EEG signals (train_eegs/) are recorded from 19 electrodes placed according to the International 10–20 system, sampled at 200 Hz. Spectrograms (train_spectrograms/) are provided as three-dimensional tensors and organized into four brain regions—Left Lateral (LL), Right Lateral (RL), Left Posterior (LP), and Right Posterior (RP)—alongside an auxiliary electrocardiogram (EKG) channel [6], [10].</w:t>
      </w:r>
      <w:r w:rsidR="000F5247" w:rsidRPr="000F5247">
        <w:t xml:space="preserve"> </w:t>
      </w:r>
    </w:p>
    <w:p w14:paraId="38B867A8" w14:textId="77777777" w:rsidR="00DA0A19" w:rsidRDefault="000F5247" w:rsidP="009F2ADD">
      <w:pPr>
        <w:pStyle w:val="H1NoSpace"/>
        <w:jc w:val="both"/>
      </w:pPr>
      <w:r w:rsidRPr="000F5247">
        <w:rPr>
          <w:rFonts w:ascii="Times New Roman" w:hAnsi="Times New Roman" w:cs="TimesLTStd-Roman"/>
          <w:b w:val="0"/>
          <w:color w:val="auto"/>
          <w:spacing w:val="-2"/>
          <w:sz w:val="20"/>
          <w:szCs w:val="20"/>
        </w:rPr>
        <w:t>The test set mirrors the structure of the training data and includes both raw EEG recordings and their corresponding spectrograms. It is intended for model inference, where predictions are generated across six clinically meaningful brain activity categories: seizure, generalized periodic discharges (GPD), lateralized periodic discharges (LPD), lateralized rhythmic delta activity (LRDA), generalized rhythmic delta activity (GRDA), and other. The training labels are based on expert clinical interpretation and serve as the basis for supervised learning.</w:t>
      </w:r>
      <w:r w:rsidR="00DA0A19">
        <w:t xml:space="preserve"> </w:t>
      </w:r>
    </w:p>
    <w:p w14:paraId="156D665F" w14:textId="77777777" w:rsidR="009F2ADD" w:rsidRDefault="00DA0A19" w:rsidP="009F2ADD">
      <w:pPr>
        <w:pStyle w:val="H1NoSpace"/>
        <w:jc w:val="both"/>
        <w:rPr>
          <w:rFonts w:ascii="Times New Roman" w:hAnsi="Times New Roman" w:cs="TimesLTStd-Roman"/>
          <w:b w:val="0"/>
          <w:color w:val="auto"/>
          <w:spacing w:val="-2"/>
          <w:sz w:val="20"/>
          <w:szCs w:val="20"/>
        </w:rPr>
      </w:pPr>
      <w:r>
        <w:rPr>
          <w:rFonts w:ascii="Times New Roman" w:hAnsi="Times New Roman" w:cs="TimesLTStd-Roman"/>
          <w:b w:val="0"/>
          <w:color w:val="auto"/>
          <w:spacing w:val="-2"/>
          <w:sz w:val="20"/>
          <w:szCs w:val="20"/>
        </w:rPr>
        <w:t>To</w:t>
      </w:r>
      <w:r w:rsidRPr="00DA0A19">
        <w:rPr>
          <w:rFonts w:ascii="Times New Roman" w:hAnsi="Times New Roman" w:cs="TimesLTStd-Roman"/>
          <w:b w:val="0"/>
          <w:color w:val="auto"/>
          <w:spacing w:val="-2"/>
          <w:sz w:val="20"/>
          <w:szCs w:val="20"/>
        </w:rPr>
        <w:t xml:space="preserve"> illustrate the diversity and complexity of these patterns, Fig. </w:t>
      </w:r>
      <w:r>
        <w:rPr>
          <w:rFonts w:ascii="Times New Roman" w:hAnsi="Times New Roman" w:cs="TimesLTStd-Roman"/>
          <w:b w:val="0"/>
          <w:color w:val="auto"/>
          <w:spacing w:val="-2"/>
          <w:sz w:val="20"/>
          <w:szCs w:val="20"/>
        </w:rPr>
        <w:t>2</w:t>
      </w:r>
      <w:r w:rsidRPr="00DA0A19">
        <w:rPr>
          <w:rFonts w:ascii="Times New Roman" w:hAnsi="Times New Roman" w:cs="TimesLTStd-Roman"/>
          <w:b w:val="0"/>
          <w:color w:val="auto"/>
          <w:spacing w:val="-2"/>
          <w:sz w:val="20"/>
          <w:szCs w:val="20"/>
        </w:rPr>
        <w:t xml:space="preserve"> visualizes a selection of EEG waveforms and their corresponding spectrograms, alongside associated label distributions across the defined brain activity categories. These examples highlight the nuanced, real-world inputs that models must learn from, emphasizing the need for robust approaches capable of handling such variability [1], [10].</w:t>
      </w:r>
    </w:p>
    <w:p w14:paraId="20FD0D80" w14:textId="77777777" w:rsidR="003A2518" w:rsidRDefault="003A2518" w:rsidP="009F2ADD">
      <w:pPr>
        <w:pStyle w:val="H1NoSpace"/>
        <w:jc w:val="both"/>
        <w:rPr>
          <w:rFonts w:ascii="Times New Roman" w:hAnsi="Times New Roman" w:cs="TimesLTStd-Roman"/>
          <w:b w:val="0"/>
          <w:color w:val="auto"/>
          <w:spacing w:val="-2"/>
          <w:sz w:val="20"/>
          <w:szCs w:val="20"/>
        </w:rPr>
      </w:pPr>
    </w:p>
    <w:p w14:paraId="26FBA9D0" w14:textId="2207ACCD" w:rsidR="002900FB" w:rsidRDefault="00C41F0F" w:rsidP="009F2ADD">
      <w:pPr>
        <w:pStyle w:val="H1NoSpace"/>
        <w:jc w:val="both"/>
        <w:rPr>
          <w:rFonts w:ascii="Times New Roman" w:hAnsi="Times New Roman" w:cs="TimesLTStd-Roman"/>
          <w:b w:val="0"/>
          <w:color w:val="auto"/>
          <w:spacing w:val="-2"/>
          <w:sz w:val="20"/>
          <w:szCs w:val="20"/>
        </w:rPr>
      </w:pPr>
      <w:r w:rsidRPr="002900FB">
        <w:rPr>
          <w:rFonts w:ascii="Times New Roman" w:hAnsi="Times New Roman" w:cs="TimesLTStd-Roman"/>
          <w:b w:val="0"/>
          <w:noProof/>
          <w:color w:val="auto"/>
          <w:spacing w:val="-2"/>
          <w:sz w:val="20"/>
          <w:szCs w:val="20"/>
        </w:rPr>
        <w:drawing>
          <wp:inline distT="0" distB="0" distL="0" distR="0" wp14:anchorId="67531AE2" wp14:editId="778CDCD0">
            <wp:extent cx="3049905" cy="112839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9905" cy="1128395"/>
                    </a:xfrm>
                    <a:prstGeom prst="rect">
                      <a:avLst/>
                    </a:prstGeom>
                    <a:noFill/>
                    <a:ln>
                      <a:noFill/>
                    </a:ln>
                  </pic:spPr>
                </pic:pic>
              </a:graphicData>
            </a:graphic>
          </wp:inline>
        </w:drawing>
      </w:r>
    </w:p>
    <w:p w14:paraId="1FAE60E3" w14:textId="77777777" w:rsidR="002900FB" w:rsidRPr="007368A7" w:rsidRDefault="002900FB" w:rsidP="002900FB">
      <w:pPr>
        <w:jc w:val="center"/>
        <w:rPr>
          <w:i/>
          <w:iCs/>
          <w:sz w:val="20"/>
          <w:szCs w:val="20"/>
        </w:rPr>
      </w:pPr>
      <w:r w:rsidRPr="007368A7">
        <w:rPr>
          <w:i/>
          <w:iCs/>
          <w:sz w:val="20"/>
          <w:szCs w:val="20"/>
        </w:rPr>
        <w:t>Fig. 2. Representative spectrograms and corresponding EEG waveforms for all six classes in the dataset.</w:t>
      </w:r>
    </w:p>
    <w:p w14:paraId="7FC7B383" w14:textId="77777777" w:rsidR="002900FB" w:rsidRPr="00E91452" w:rsidRDefault="002900FB" w:rsidP="002900FB">
      <w:pPr>
        <w:pStyle w:val="H1"/>
      </w:pPr>
      <w:r>
        <w:t>III</w:t>
      </w:r>
      <w:r w:rsidRPr="005C3955">
        <w:t>.</w:t>
      </w:r>
      <w:r>
        <w:rPr>
          <w:rFonts w:ascii="MS Gothic" w:eastAsia="MS Gothic" w:hAnsi="MS Gothic" w:cs="MS Gothic"/>
        </w:rPr>
        <w:t> </w:t>
      </w:r>
      <w:r w:rsidR="00336877">
        <w:t>RELATED WORK</w:t>
      </w:r>
    </w:p>
    <w:p w14:paraId="2B3E9AA2" w14:textId="77777777" w:rsidR="003A2518" w:rsidRPr="003A2518" w:rsidRDefault="003A2518" w:rsidP="003A2518">
      <w:pPr>
        <w:pStyle w:val="PARA"/>
        <w:rPr>
          <w:lang w:val="en-IN"/>
        </w:rPr>
      </w:pPr>
      <w:r w:rsidRPr="003A2518">
        <w:rPr>
          <w:lang w:val="en-IN"/>
        </w:rPr>
        <w:t>EEG signal classification has been a longstanding challenge in the fields of neuroscience and machine learning, driven by the need for real-time, accurate, and interpretable detection of harmful brain activity. Traditional approaches often involved manual feature extraction combined with classical classifiers. Lahmiri and Shmuel [12] achieved over 90% accuracy for seizure versus non-seizure detection using generalized Hurst exponent features and a k-nearest neighbour model on intracranial EEG recordings.</w:t>
      </w:r>
    </w:p>
    <w:p w14:paraId="1BBEFE03" w14:textId="77777777" w:rsidR="003A2518" w:rsidRPr="003A2518" w:rsidRDefault="003A2518" w:rsidP="003A2518">
      <w:pPr>
        <w:pStyle w:val="PARA"/>
        <w:rPr>
          <w:lang w:val="en-IN"/>
        </w:rPr>
      </w:pPr>
      <w:r w:rsidRPr="003A2518">
        <w:rPr>
          <w:lang w:val="en-IN"/>
        </w:rPr>
        <w:t>With the rise of deep learning, automated feature extraction through convolutional and recurrent neural networks has led to significant performance gains on public datasets. Bhatti et al. [3], [4] implemented a comparative analysis of deep learning models for EEG classification, achieving 80–90% accuracy across various benchmark datasets. Kasabov’s NeuCube framework [11] introduced a spiking neural network for modelling spatial-temporal brain activity, reaching up to 85% accuracy in structured EEG environments.</w:t>
      </w:r>
    </w:p>
    <w:p w14:paraId="092385AC" w14:textId="77777777" w:rsidR="003A2518" w:rsidRPr="003A2518" w:rsidRDefault="003A2518" w:rsidP="003A2518">
      <w:pPr>
        <w:pStyle w:val="PARA"/>
        <w:rPr>
          <w:lang w:val="en-IN"/>
        </w:rPr>
      </w:pPr>
      <w:r w:rsidRPr="003A2518">
        <w:rPr>
          <w:lang w:val="en-IN"/>
        </w:rPr>
        <w:t>Transfer learning has also been employed to repurpose powerful image classification architectures for EEG spectrograms. Ganesan et al. [6], [15] and Ram et al. [16] leveraged pre-trained models such as ResNet and EfficientNet on transformed EEG data, achieving AUC values exceeding 90% in clean and curated settings.</w:t>
      </w:r>
    </w:p>
    <w:p w14:paraId="32CBBD06" w14:textId="77777777" w:rsidR="003A2518" w:rsidRPr="003A2518" w:rsidRDefault="003A2518" w:rsidP="003A2518">
      <w:pPr>
        <w:pStyle w:val="PARA"/>
        <w:rPr>
          <w:lang w:val="en-IN"/>
        </w:rPr>
      </w:pPr>
      <w:r w:rsidRPr="003A2518">
        <w:rPr>
          <w:lang w:val="en-IN"/>
        </w:rPr>
        <w:t xml:space="preserve">More recently, ensemble methods have gained popularity due to their ability to stabilize predictions. Habijan et al. [7] combined multiple deep learning backbones—including </w:t>
      </w:r>
      <w:r w:rsidRPr="003A2518">
        <w:rPr>
          <w:lang w:val="en-IN"/>
        </w:rPr>
        <w:lastRenderedPageBreak/>
        <w:t>ResNet1d-GRU and EfficientNet variants—for EEG spectrogram classification, showing improved robustness. Similarly, Kamble et al. [10] reported moderate accuracy (60–70%) on challenging EEG datasets using ensemble deep learning pipelines.</w:t>
      </w:r>
    </w:p>
    <w:p w14:paraId="7BE16C69" w14:textId="656A60B7" w:rsidR="00B93892" w:rsidRDefault="003A2518" w:rsidP="00B93892">
      <w:pPr>
        <w:pStyle w:val="PARA"/>
        <w:rPr>
          <w:lang w:val="en-IN"/>
        </w:rPr>
      </w:pPr>
      <w:r w:rsidRPr="003A2518">
        <w:rPr>
          <w:lang w:val="en-IN"/>
        </w:rPr>
        <w:t>While many of these models achieve high performance on ideal datasets, the transition to noisy, real-world clinical EEG remains difficult. In particular, recent research involving hybrid models [8], spiking neural networks [10], and ensemble pipelines [6] has shown that even advanced techniques yield only 50–70% accuracy on more complex data. These results suggest that despite methodological progress, EEG classification remains sensitive to signal variability, patient-specific patterns, and soft labelling strategies. A comparative summary of classification performance across representative EEG studies is provided in Table I.</w:t>
      </w:r>
    </w:p>
    <w:p w14:paraId="1E0426A9" w14:textId="77777777" w:rsidR="00281FB8" w:rsidRDefault="00281FB8" w:rsidP="003535B2">
      <w:pPr>
        <w:pStyle w:val="BodyText"/>
        <w:spacing w:before="1" w:after="2"/>
        <w:ind w:left="320"/>
        <w:jc w:val="center"/>
        <w:rPr>
          <w:rFonts w:ascii="Times New Roman" w:hAnsi="Times New Roman" w:cs="Times New Roman"/>
        </w:rPr>
      </w:pPr>
    </w:p>
    <w:p w14:paraId="1E5A59E5" w14:textId="4E5B77CB" w:rsidR="003535B2" w:rsidRPr="007368A7" w:rsidRDefault="003535B2" w:rsidP="00281FB8">
      <w:pPr>
        <w:pStyle w:val="BodyText"/>
        <w:spacing w:before="1" w:after="2"/>
        <w:ind w:left="320"/>
        <w:jc w:val="center"/>
        <w:rPr>
          <w:rFonts w:ascii="Times New Roman" w:hAnsi="Times New Roman" w:cs="Times New Roman"/>
          <w:i/>
          <w:iCs/>
          <w:spacing w:val="-2"/>
        </w:rPr>
      </w:pPr>
      <w:r w:rsidRPr="007368A7">
        <w:rPr>
          <w:rFonts w:ascii="Times New Roman" w:hAnsi="Times New Roman" w:cs="Times New Roman"/>
          <w:i/>
          <w:iCs/>
        </w:rPr>
        <w:t>Table</w:t>
      </w:r>
      <w:r w:rsidRPr="007368A7">
        <w:rPr>
          <w:rFonts w:ascii="Times New Roman" w:hAnsi="Times New Roman" w:cs="Times New Roman"/>
          <w:i/>
          <w:iCs/>
          <w:spacing w:val="3"/>
        </w:rPr>
        <w:t xml:space="preserve"> </w:t>
      </w:r>
      <w:r w:rsidRPr="007368A7">
        <w:rPr>
          <w:rFonts w:ascii="Times New Roman" w:hAnsi="Times New Roman" w:cs="Times New Roman"/>
          <w:i/>
          <w:iCs/>
        </w:rPr>
        <w:t>I:</w:t>
      </w:r>
      <w:r w:rsidRPr="007368A7">
        <w:rPr>
          <w:rFonts w:ascii="Times New Roman" w:hAnsi="Times New Roman" w:cs="Times New Roman"/>
          <w:i/>
          <w:iCs/>
          <w:spacing w:val="20"/>
        </w:rPr>
        <w:t xml:space="preserve"> </w:t>
      </w:r>
      <w:r w:rsidRPr="007368A7">
        <w:rPr>
          <w:rFonts w:ascii="Times New Roman" w:hAnsi="Times New Roman" w:cs="Times New Roman"/>
          <w:i/>
          <w:iCs/>
        </w:rPr>
        <w:t>Summary</w:t>
      </w:r>
      <w:r w:rsidRPr="007368A7">
        <w:rPr>
          <w:rFonts w:ascii="Times New Roman" w:hAnsi="Times New Roman" w:cs="Times New Roman"/>
          <w:i/>
          <w:iCs/>
          <w:spacing w:val="3"/>
        </w:rPr>
        <w:t xml:space="preserve"> </w:t>
      </w:r>
      <w:r w:rsidRPr="007368A7">
        <w:rPr>
          <w:rFonts w:ascii="Times New Roman" w:hAnsi="Times New Roman" w:cs="Times New Roman"/>
          <w:i/>
          <w:iCs/>
        </w:rPr>
        <w:t>of</w:t>
      </w:r>
      <w:r w:rsidRPr="007368A7">
        <w:rPr>
          <w:rFonts w:ascii="Times New Roman" w:hAnsi="Times New Roman" w:cs="Times New Roman"/>
          <w:i/>
          <w:iCs/>
          <w:spacing w:val="3"/>
        </w:rPr>
        <w:t xml:space="preserve"> </w:t>
      </w:r>
      <w:r w:rsidRPr="007368A7">
        <w:rPr>
          <w:rFonts w:ascii="Times New Roman" w:hAnsi="Times New Roman" w:cs="Times New Roman"/>
          <w:i/>
          <w:iCs/>
        </w:rPr>
        <w:t>EEG</w:t>
      </w:r>
      <w:r w:rsidRPr="007368A7">
        <w:rPr>
          <w:rFonts w:ascii="Times New Roman" w:hAnsi="Times New Roman" w:cs="Times New Roman"/>
          <w:i/>
          <w:iCs/>
          <w:spacing w:val="3"/>
        </w:rPr>
        <w:t xml:space="preserve"> </w:t>
      </w:r>
      <w:r w:rsidRPr="007368A7">
        <w:rPr>
          <w:rFonts w:ascii="Times New Roman" w:hAnsi="Times New Roman" w:cs="Times New Roman"/>
          <w:i/>
          <w:iCs/>
        </w:rPr>
        <w:t>Signal</w:t>
      </w:r>
      <w:r w:rsidRPr="007368A7">
        <w:rPr>
          <w:rFonts w:ascii="Times New Roman" w:hAnsi="Times New Roman" w:cs="Times New Roman"/>
          <w:i/>
          <w:iCs/>
          <w:spacing w:val="3"/>
        </w:rPr>
        <w:t xml:space="preserve"> </w:t>
      </w:r>
      <w:r w:rsidRPr="007368A7">
        <w:rPr>
          <w:rFonts w:ascii="Times New Roman" w:hAnsi="Times New Roman" w:cs="Times New Roman"/>
          <w:i/>
          <w:iCs/>
        </w:rPr>
        <w:t>Classification</w:t>
      </w:r>
      <w:r w:rsidRPr="007368A7">
        <w:rPr>
          <w:rFonts w:ascii="Times New Roman" w:hAnsi="Times New Roman" w:cs="Times New Roman"/>
          <w:i/>
          <w:iCs/>
          <w:spacing w:val="4"/>
        </w:rPr>
        <w:t xml:space="preserve"> </w:t>
      </w:r>
      <w:r w:rsidRPr="007368A7">
        <w:rPr>
          <w:rFonts w:ascii="Times New Roman" w:hAnsi="Times New Roman" w:cs="Times New Roman"/>
          <w:i/>
          <w:iCs/>
          <w:spacing w:val="-2"/>
        </w:rPr>
        <w:t>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46"/>
        <w:gridCol w:w="1519"/>
        <w:gridCol w:w="1325"/>
        <w:gridCol w:w="1120"/>
      </w:tblGrid>
      <w:tr w:rsidR="003535B2" w:rsidRPr="006C36A3" w14:paraId="12CF5CB5" w14:textId="77777777" w:rsidTr="00281FB8">
        <w:trPr>
          <w:trHeight w:val="237"/>
        </w:trPr>
        <w:tc>
          <w:tcPr>
            <w:tcW w:w="846" w:type="dxa"/>
          </w:tcPr>
          <w:p w14:paraId="5E6A5ECF" w14:textId="77777777" w:rsidR="003535B2" w:rsidRPr="006C36A3" w:rsidRDefault="003535B2" w:rsidP="003535B2">
            <w:pPr>
              <w:pStyle w:val="TableParagraph"/>
              <w:spacing w:line="210" w:lineRule="exact"/>
              <w:ind w:left="8"/>
              <w:rPr>
                <w:rFonts w:ascii="Times New Roman" w:hAnsi="Times New Roman" w:cs="Times New Roman"/>
                <w:b/>
                <w:sz w:val="20"/>
                <w:szCs w:val="20"/>
              </w:rPr>
            </w:pPr>
            <w:r w:rsidRPr="006C36A3">
              <w:rPr>
                <w:rFonts w:ascii="Times New Roman" w:hAnsi="Times New Roman" w:cs="Times New Roman"/>
                <w:b/>
                <w:sz w:val="20"/>
                <w:szCs w:val="20"/>
              </w:rPr>
              <w:t>Ref.</w:t>
            </w:r>
            <w:r w:rsidRPr="006C36A3">
              <w:rPr>
                <w:rFonts w:ascii="Times New Roman" w:hAnsi="Times New Roman" w:cs="Times New Roman"/>
                <w:b/>
                <w:spacing w:val="42"/>
                <w:sz w:val="20"/>
                <w:szCs w:val="20"/>
              </w:rPr>
              <w:t xml:space="preserve"> </w:t>
            </w:r>
            <w:r w:rsidRPr="006C36A3">
              <w:rPr>
                <w:rFonts w:ascii="Times New Roman" w:hAnsi="Times New Roman" w:cs="Times New Roman"/>
                <w:b/>
                <w:spacing w:val="-5"/>
                <w:sz w:val="20"/>
                <w:szCs w:val="20"/>
              </w:rPr>
              <w:t>No.</w:t>
            </w:r>
          </w:p>
        </w:tc>
        <w:tc>
          <w:tcPr>
            <w:tcW w:w="1519" w:type="dxa"/>
          </w:tcPr>
          <w:p w14:paraId="31C407F6" w14:textId="77777777" w:rsidR="003535B2" w:rsidRPr="006C36A3" w:rsidRDefault="003535B2" w:rsidP="003535B2">
            <w:pPr>
              <w:pStyle w:val="TableParagraph"/>
              <w:spacing w:line="210" w:lineRule="exact"/>
              <w:rPr>
                <w:rFonts w:ascii="Times New Roman" w:hAnsi="Times New Roman" w:cs="Times New Roman"/>
                <w:b/>
                <w:sz w:val="20"/>
                <w:szCs w:val="20"/>
              </w:rPr>
            </w:pPr>
            <w:r w:rsidRPr="006C36A3">
              <w:rPr>
                <w:rFonts w:ascii="Times New Roman" w:hAnsi="Times New Roman" w:cs="Times New Roman"/>
                <w:b/>
                <w:spacing w:val="-2"/>
                <w:sz w:val="20"/>
                <w:szCs w:val="20"/>
              </w:rPr>
              <w:t>Dataset</w:t>
            </w:r>
          </w:p>
        </w:tc>
        <w:tc>
          <w:tcPr>
            <w:tcW w:w="1325" w:type="dxa"/>
          </w:tcPr>
          <w:p w14:paraId="48723D43" w14:textId="77777777" w:rsidR="003535B2" w:rsidRPr="006C36A3" w:rsidRDefault="003535B2" w:rsidP="003535B2">
            <w:pPr>
              <w:pStyle w:val="TableParagraph"/>
              <w:spacing w:line="210" w:lineRule="exact"/>
              <w:rPr>
                <w:rFonts w:ascii="Times New Roman" w:hAnsi="Times New Roman" w:cs="Times New Roman"/>
                <w:b/>
                <w:sz w:val="20"/>
                <w:szCs w:val="20"/>
              </w:rPr>
            </w:pPr>
            <w:r w:rsidRPr="006C36A3">
              <w:rPr>
                <w:rFonts w:ascii="Times New Roman" w:hAnsi="Times New Roman" w:cs="Times New Roman"/>
                <w:b/>
                <w:spacing w:val="-2"/>
                <w:sz w:val="20"/>
                <w:szCs w:val="20"/>
              </w:rPr>
              <w:t>Classifier</w:t>
            </w:r>
          </w:p>
        </w:tc>
        <w:tc>
          <w:tcPr>
            <w:tcW w:w="1120" w:type="dxa"/>
          </w:tcPr>
          <w:p w14:paraId="61A50576" w14:textId="77777777" w:rsidR="003535B2" w:rsidRPr="006C36A3" w:rsidRDefault="003535B2" w:rsidP="003535B2">
            <w:pPr>
              <w:pStyle w:val="TableParagraph"/>
              <w:spacing w:line="210" w:lineRule="exact"/>
              <w:ind w:left="10" w:right="2"/>
              <w:rPr>
                <w:rFonts w:ascii="Times New Roman" w:hAnsi="Times New Roman" w:cs="Times New Roman"/>
                <w:b/>
                <w:sz w:val="20"/>
                <w:szCs w:val="20"/>
              </w:rPr>
            </w:pPr>
            <w:r w:rsidRPr="006C36A3">
              <w:rPr>
                <w:rFonts w:ascii="Times New Roman" w:hAnsi="Times New Roman" w:cs="Times New Roman"/>
                <w:b/>
                <w:spacing w:val="-2"/>
                <w:sz w:val="20"/>
                <w:szCs w:val="20"/>
              </w:rPr>
              <w:t>Metric</w:t>
            </w:r>
          </w:p>
        </w:tc>
      </w:tr>
      <w:tr w:rsidR="003535B2" w:rsidRPr="006C36A3" w14:paraId="4B3361D4" w14:textId="77777777" w:rsidTr="00281FB8">
        <w:trPr>
          <w:trHeight w:val="236"/>
        </w:trPr>
        <w:tc>
          <w:tcPr>
            <w:tcW w:w="846" w:type="dxa"/>
          </w:tcPr>
          <w:p w14:paraId="38244141" w14:textId="77777777" w:rsidR="003535B2" w:rsidRPr="006C36A3" w:rsidRDefault="003535B2" w:rsidP="003535B2">
            <w:pPr>
              <w:pStyle w:val="TableParagraph"/>
              <w:spacing w:line="211" w:lineRule="exact"/>
              <w:ind w:left="8" w:right="1"/>
              <w:rPr>
                <w:rFonts w:ascii="Times New Roman" w:hAnsi="Times New Roman" w:cs="Times New Roman"/>
                <w:sz w:val="20"/>
                <w:szCs w:val="20"/>
              </w:rPr>
            </w:pPr>
            <w:r w:rsidRPr="006C36A3">
              <w:rPr>
                <w:rFonts w:ascii="Times New Roman" w:hAnsi="Times New Roman" w:cs="Times New Roman"/>
                <w:spacing w:val="-4"/>
                <w:w w:val="115"/>
                <w:sz w:val="20"/>
                <w:szCs w:val="20"/>
              </w:rPr>
              <w:t>[11]</w:t>
            </w:r>
          </w:p>
        </w:tc>
        <w:tc>
          <w:tcPr>
            <w:tcW w:w="1519" w:type="dxa"/>
          </w:tcPr>
          <w:p w14:paraId="61E8289D" w14:textId="77777777" w:rsidR="003535B2" w:rsidRPr="006C36A3" w:rsidRDefault="003535B2" w:rsidP="003535B2">
            <w:pPr>
              <w:pStyle w:val="TableParagraph"/>
              <w:spacing w:line="216" w:lineRule="exact"/>
              <w:rPr>
                <w:rFonts w:ascii="Times New Roman" w:hAnsi="Times New Roman" w:cs="Times New Roman"/>
                <w:sz w:val="20"/>
                <w:szCs w:val="20"/>
              </w:rPr>
            </w:pPr>
            <w:r w:rsidRPr="006C36A3">
              <w:rPr>
                <w:rFonts w:ascii="Times New Roman" w:hAnsi="Times New Roman" w:cs="Times New Roman"/>
                <w:sz w:val="20"/>
                <w:szCs w:val="20"/>
              </w:rPr>
              <w:t>Intracranial</w:t>
            </w:r>
            <w:r w:rsidRPr="006C36A3">
              <w:rPr>
                <w:rFonts w:ascii="Times New Roman" w:hAnsi="Times New Roman" w:cs="Times New Roman"/>
                <w:spacing w:val="-1"/>
                <w:sz w:val="20"/>
                <w:szCs w:val="20"/>
              </w:rPr>
              <w:t xml:space="preserve"> </w:t>
            </w:r>
            <w:r w:rsidRPr="006C36A3">
              <w:rPr>
                <w:rFonts w:ascii="Times New Roman" w:hAnsi="Times New Roman" w:cs="Times New Roman"/>
                <w:spacing w:val="-5"/>
                <w:sz w:val="20"/>
                <w:szCs w:val="20"/>
              </w:rPr>
              <w:t>EEG</w:t>
            </w:r>
          </w:p>
        </w:tc>
        <w:tc>
          <w:tcPr>
            <w:tcW w:w="1325" w:type="dxa"/>
          </w:tcPr>
          <w:p w14:paraId="226AEC40" w14:textId="77777777" w:rsidR="003535B2" w:rsidRPr="006C36A3" w:rsidRDefault="003535B2" w:rsidP="003535B2">
            <w:pPr>
              <w:pStyle w:val="TableParagraph"/>
              <w:spacing w:line="216" w:lineRule="exact"/>
              <w:rPr>
                <w:rFonts w:ascii="Times New Roman" w:hAnsi="Times New Roman" w:cs="Times New Roman"/>
                <w:sz w:val="20"/>
                <w:szCs w:val="20"/>
              </w:rPr>
            </w:pPr>
            <w:r w:rsidRPr="006C36A3">
              <w:rPr>
                <w:rFonts w:ascii="Times New Roman" w:hAnsi="Times New Roman" w:cs="Times New Roman"/>
                <w:sz w:val="20"/>
                <w:szCs w:val="20"/>
              </w:rPr>
              <w:t>ML</w:t>
            </w:r>
            <w:r w:rsidRPr="006C36A3">
              <w:rPr>
                <w:rFonts w:ascii="Times New Roman" w:hAnsi="Times New Roman" w:cs="Times New Roman"/>
                <w:spacing w:val="9"/>
                <w:sz w:val="20"/>
                <w:szCs w:val="20"/>
              </w:rPr>
              <w:t xml:space="preserve"> </w:t>
            </w:r>
            <w:r w:rsidRPr="006C36A3">
              <w:rPr>
                <w:rFonts w:ascii="Times New Roman" w:hAnsi="Times New Roman" w:cs="Times New Roman"/>
                <w:spacing w:val="-2"/>
                <w:sz w:val="20"/>
                <w:szCs w:val="20"/>
              </w:rPr>
              <w:t>(various)</w:t>
            </w:r>
          </w:p>
        </w:tc>
        <w:tc>
          <w:tcPr>
            <w:tcW w:w="1120" w:type="dxa"/>
          </w:tcPr>
          <w:p w14:paraId="7AF60539" w14:textId="77777777" w:rsidR="003535B2" w:rsidRPr="006C36A3" w:rsidRDefault="003535B2" w:rsidP="003535B2">
            <w:pPr>
              <w:pStyle w:val="TableParagraph"/>
              <w:spacing w:line="216" w:lineRule="exact"/>
              <w:ind w:left="10"/>
              <w:rPr>
                <w:rFonts w:ascii="Times New Roman" w:hAnsi="Times New Roman" w:cs="Times New Roman"/>
                <w:sz w:val="20"/>
                <w:szCs w:val="20"/>
              </w:rPr>
            </w:pPr>
            <w:r w:rsidRPr="006C36A3">
              <w:rPr>
                <w:rFonts w:ascii="Times New Roman" w:hAnsi="Times New Roman" w:cs="Times New Roman"/>
                <w:w w:val="105"/>
                <w:sz w:val="20"/>
                <w:szCs w:val="20"/>
              </w:rPr>
              <w:t>Acc.</w:t>
            </w:r>
            <w:r w:rsidRPr="006C36A3">
              <w:rPr>
                <w:rFonts w:ascii="Times New Roman" w:hAnsi="Times New Roman" w:cs="Times New Roman"/>
                <w:spacing w:val="12"/>
                <w:w w:val="105"/>
                <w:sz w:val="20"/>
                <w:szCs w:val="20"/>
              </w:rPr>
              <w:t xml:space="preserve"> </w:t>
            </w:r>
            <w:r w:rsidRPr="006C36A3">
              <w:rPr>
                <w:rFonts w:ascii="Times New Roman" w:hAnsi="Times New Roman" w:cs="Times New Roman"/>
                <w:spacing w:val="-2"/>
                <w:w w:val="105"/>
                <w:sz w:val="20"/>
                <w:szCs w:val="20"/>
              </w:rPr>
              <w:t>(90%+)</w:t>
            </w:r>
          </w:p>
        </w:tc>
      </w:tr>
      <w:tr w:rsidR="003535B2" w:rsidRPr="006C36A3" w14:paraId="39985C01" w14:textId="77777777" w:rsidTr="00281FB8">
        <w:trPr>
          <w:trHeight w:val="239"/>
        </w:trPr>
        <w:tc>
          <w:tcPr>
            <w:tcW w:w="846" w:type="dxa"/>
          </w:tcPr>
          <w:p w14:paraId="0D3CE141" w14:textId="77777777" w:rsidR="003535B2" w:rsidRPr="006C36A3" w:rsidRDefault="003535B2" w:rsidP="003535B2">
            <w:pPr>
              <w:pStyle w:val="TableParagraph"/>
              <w:spacing w:line="214" w:lineRule="exact"/>
              <w:ind w:left="8" w:right="1"/>
              <w:rPr>
                <w:rFonts w:ascii="Times New Roman" w:hAnsi="Times New Roman" w:cs="Times New Roman"/>
                <w:sz w:val="20"/>
                <w:szCs w:val="20"/>
              </w:rPr>
            </w:pPr>
            <w:r w:rsidRPr="006C36A3">
              <w:rPr>
                <w:rFonts w:ascii="Times New Roman" w:hAnsi="Times New Roman" w:cs="Times New Roman"/>
                <w:spacing w:val="-5"/>
                <w:w w:val="125"/>
                <w:sz w:val="20"/>
                <w:szCs w:val="20"/>
              </w:rPr>
              <w:t>[3]</w:t>
            </w:r>
          </w:p>
        </w:tc>
        <w:tc>
          <w:tcPr>
            <w:tcW w:w="1519" w:type="dxa"/>
          </w:tcPr>
          <w:p w14:paraId="739A28EB"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z w:val="20"/>
                <w:szCs w:val="20"/>
              </w:rPr>
              <w:t>Public</w:t>
            </w:r>
            <w:r w:rsidRPr="006C36A3">
              <w:rPr>
                <w:rFonts w:ascii="Times New Roman" w:hAnsi="Times New Roman" w:cs="Times New Roman"/>
                <w:spacing w:val="10"/>
                <w:sz w:val="20"/>
                <w:szCs w:val="20"/>
              </w:rPr>
              <w:t xml:space="preserve"> </w:t>
            </w:r>
            <w:r w:rsidRPr="006C36A3">
              <w:rPr>
                <w:rFonts w:ascii="Times New Roman" w:hAnsi="Times New Roman" w:cs="Times New Roman"/>
                <w:spacing w:val="-5"/>
                <w:sz w:val="20"/>
                <w:szCs w:val="20"/>
              </w:rPr>
              <w:t>EEG</w:t>
            </w:r>
          </w:p>
        </w:tc>
        <w:tc>
          <w:tcPr>
            <w:tcW w:w="1325" w:type="dxa"/>
          </w:tcPr>
          <w:p w14:paraId="7C20A2F3"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pacing w:val="-2"/>
                <w:sz w:val="20"/>
                <w:szCs w:val="20"/>
              </w:rPr>
              <w:t>Deep</w:t>
            </w:r>
            <w:r w:rsidRPr="006C36A3">
              <w:rPr>
                <w:rFonts w:ascii="Times New Roman" w:hAnsi="Times New Roman" w:cs="Times New Roman"/>
                <w:spacing w:val="-4"/>
                <w:sz w:val="20"/>
                <w:szCs w:val="20"/>
              </w:rPr>
              <w:t xml:space="preserve"> </w:t>
            </w:r>
            <w:r w:rsidRPr="006C36A3">
              <w:rPr>
                <w:rFonts w:ascii="Times New Roman" w:hAnsi="Times New Roman" w:cs="Times New Roman"/>
                <w:spacing w:val="-2"/>
                <w:sz w:val="20"/>
                <w:szCs w:val="20"/>
              </w:rPr>
              <w:t>Learning</w:t>
            </w:r>
          </w:p>
        </w:tc>
        <w:tc>
          <w:tcPr>
            <w:tcW w:w="1120" w:type="dxa"/>
          </w:tcPr>
          <w:p w14:paraId="0B182D8E" w14:textId="77777777" w:rsidR="003535B2" w:rsidRPr="006C36A3" w:rsidRDefault="003535B2" w:rsidP="003535B2">
            <w:pPr>
              <w:pStyle w:val="TableParagraph"/>
              <w:ind w:left="10"/>
              <w:rPr>
                <w:rFonts w:ascii="Times New Roman" w:hAnsi="Times New Roman" w:cs="Times New Roman"/>
                <w:sz w:val="20"/>
                <w:szCs w:val="20"/>
              </w:rPr>
            </w:pPr>
            <w:r w:rsidRPr="006C36A3">
              <w:rPr>
                <w:rFonts w:ascii="Times New Roman" w:hAnsi="Times New Roman" w:cs="Times New Roman"/>
                <w:sz w:val="20"/>
                <w:szCs w:val="20"/>
              </w:rPr>
              <w:t>Acc.</w:t>
            </w:r>
            <w:r w:rsidRPr="006C36A3">
              <w:rPr>
                <w:rFonts w:ascii="Times New Roman" w:hAnsi="Times New Roman" w:cs="Times New Roman"/>
                <w:spacing w:val="41"/>
                <w:sz w:val="20"/>
                <w:szCs w:val="20"/>
              </w:rPr>
              <w:t xml:space="preserve"> </w:t>
            </w:r>
            <w:r w:rsidRPr="006C36A3">
              <w:rPr>
                <w:rFonts w:ascii="Times New Roman" w:hAnsi="Times New Roman" w:cs="Times New Roman"/>
                <w:sz w:val="20"/>
                <w:szCs w:val="20"/>
              </w:rPr>
              <w:t>(80%-</w:t>
            </w:r>
            <w:r w:rsidRPr="006C36A3">
              <w:rPr>
                <w:rFonts w:ascii="Times New Roman" w:hAnsi="Times New Roman" w:cs="Times New Roman"/>
                <w:spacing w:val="-4"/>
                <w:sz w:val="20"/>
                <w:szCs w:val="20"/>
              </w:rPr>
              <w:t>90%)</w:t>
            </w:r>
          </w:p>
        </w:tc>
      </w:tr>
      <w:tr w:rsidR="003535B2" w:rsidRPr="006C36A3" w14:paraId="3A553BE7" w14:textId="77777777" w:rsidTr="00281FB8">
        <w:trPr>
          <w:trHeight w:val="239"/>
        </w:trPr>
        <w:tc>
          <w:tcPr>
            <w:tcW w:w="846" w:type="dxa"/>
          </w:tcPr>
          <w:p w14:paraId="250E6DC7" w14:textId="77777777" w:rsidR="003535B2" w:rsidRPr="006C36A3" w:rsidRDefault="003535B2" w:rsidP="003535B2">
            <w:pPr>
              <w:pStyle w:val="TableParagraph"/>
              <w:ind w:left="8"/>
              <w:rPr>
                <w:rFonts w:ascii="Times New Roman" w:hAnsi="Times New Roman" w:cs="Times New Roman"/>
                <w:sz w:val="20"/>
                <w:szCs w:val="20"/>
              </w:rPr>
            </w:pPr>
            <w:r w:rsidRPr="006C36A3">
              <w:rPr>
                <w:rFonts w:ascii="Times New Roman" w:hAnsi="Times New Roman" w:cs="Times New Roman"/>
                <w:w w:val="120"/>
                <w:sz w:val="20"/>
                <w:szCs w:val="20"/>
              </w:rPr>
              <w:t>[5],</w:t>
            </w:r>
            <w:r w:rsidRPr="006C36A3">
              <w:rPr>
                <w:rFonts w:ascii="Times New Roman" w:hAnsi="Times New Roman" w:cs="Times New Roman"/>
                <w:spacing w:val="13"/>
                <w:w w:val="120"/>
                <w:sz w:val="20"/>
                <w:szCs w:val="20"/>
              </w:rPr>
              <w:t xml:space="preserve"> </w:t>
            </w:r>
            <w:r w:rsidRPr="006C36A3">
              <w:rPr>
                <w:rFonts w:ascii="Times New Roman" w:hAnsi="Times New Roman" w:cs="Times New Roman"/>
                <w:spacing w:val="-4"/>
                <w:w w:val="120"/>
                <w:sz w:val="20"/>
                <w:szCs w:val="20"/>
              </w:rPr>
              <w:t>[15]</w:t>
            </w:r>
          </w:p>
        </w:tc>
        <w:tc>
          <w:tcPr>
            <w:tcW w:w="1519" w:type="dxa"/>
          </w:tcPr>
          <w:p w14:paraId="359635D9"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z w:val="20"/>
                <w:szCs w:val="20"/>
              </w:rPr>
              <w:t>EEG</w:t>
            </w:r>
            <w:r w:rsidRPr="006C36A3">
              <w:rPr>
                <w:rFonts w:ascii="Times New Roman" w:hAnsi="Times New Roman" w:cs="Times New Roman"/>
                <w:spacing w:val="43"/>
                <w:sz w:val="20"/>
                <w:szCs w:val="20"/>
              </w:rPr>
              <w:t xml:space="preserve"> </w:t>
            </w:r>
            <w:r w:rsidRPr="006C36A3">
              <w:rPr>
                <w:rFonts w:ascii="Times New Roman" w:hAnsi="Times New Roman" w:cs="Times New Roman"/>
                <w:spacing w:val="-2"/>
                <w:sz w:val="20"/>
                <w:szCs w:val="20"/>
              </w:rPr>
              <w:t>Spectrograms</w:t>
            </w:r>
          </w:p>
        </w:tc>
        <w:tc>
          <w:tcPr>
            <w:tcW w:w="1325" w:type="dxa"/>
          </w:tcPr>
          <w:p w14:paraId="5E9C9568"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pacing w:val="-2"/>
                <w:sz w:val="20"/>
                <w:szCs w:val="20"/>
              </w:rPr>
              <w:t>Transfer</w:t>
            </w:r>
            <w:r w:rsidRPr="006C36A3">
              <w:rPr>
                <w:rFonts w:ascii="Times New Roman" w:hAnsi="Times New Roman" w:cs="Times New Roman"/>
                <w:spacing w:val="4"/>
                <w:sz w:val="20"/>
                <w:szCs w:val="20"/>
              </w:rPr>
              <w:t xml:space="preserve"> </w:t>
            </w:r>
            <w:r w:rsidRPr="006C36A3">
              <w:rPr>
                <w:rFonts w:ascii="Times New Roman" w:hAnsi="Times New Roman" w:cs="Times New Roman"/>
                <w:spacing w:val="-2"/>
                <w:sz w:val="20"/>
                <w:szCs w:val="20"/>
              </w:rPr>
              <w:t>Learning</w:t>
            </w:r>
          </w:p>
        </w:tc>
        <w:tc>
          <w:tcPr>
            <w:tcW w:w="1120" w:type="dxa"/>
          </w:tcPr>
          <w:p w14:paraId="381C8CE0" w14:textId="77777777" w:rsidR="003535B2" w:rsidRPr="006C36A3" w:rsidRDefault="003535B2" w:rsidP="003535B2">
            <w:pPr>
              <w:pStyle w:val="TableParagraph"/>
              <w:ind w:left="10" w:right="1"/>
              <w:rPr>
                <w:rFonts w:ascii="Times New Roman" w:hAnsi="Times New Roman" w:cs="Times New Roman"/>
                <w:sz w:val="20"/>
                <w:szCs w:val="20"/>
              </w:rPr>
            </w:pPr>
            <w:r w:rsidRPr="006C36A3">
              <w:rPr>
                <w:rFonts w:ascii="Times New Roman" w:hAnsi="Times New Roman" w:cs="Times New Roman"/>
                <w:sz w:val="20"/>
                <w:szCs w:val="20"/>
              </w:rPr>
              <w:t>AUC</w:t>
            </w:r>
            <w:r w:rsidRPr="006C36A3">
              <w:rPr>
                <w:rFonts w:ascii="Times New Roman" w:hAnsi="Times New Roman" w:cs="Times New Roman"/>
                <w:spacing w:val="-3"/>
                <w:sz w:val="20"/>
                <w:szCs w:val="20"/>
              </w:rPr>
              <w:t xml:space="preserve"> </w:t>
            </w:r>
            <w:r w:rsidRPr="006C36A3">
              <w:rPr>
                <w:rFonts w:ascii="Times New Roman" w:hAnsi="Times New Roman" w:cs="Times New Roman"/>
                <w:spacing w:val="-2"/>
                <w:sz w:val="20"/>
                <w:szCs w:val="20"/>
              </w:rPr>
              <w:t>(90%+)</w:t>
            </w:r>
          </w:p>
        </w:tc>
      </w:tr>
      <w:tr w:rsidR="003535B2" w:rsidRPr="006C36A3" w14:paraId="0538A3FC" w14:textId="77777777" w:rsidTr="00281FB8">
        <w:trPr>
          <w:trHeight w:val="239"/>
        </w:trPr>
        <w:tc>
          <w:tcPr>
            <w:tcW w:w="846" w:type="dxa"/>
          </w:tcPr>
          <w:p w14:paraId="72E7CE2D" w14:textId="77777777" w:rsidR="003535B2" w:rsidRPr="006C36A3" w:rsidRDefault="003535B2" w:rsidP="003535B2">
            <w:pPr>
              <w:pStyle w:val="TableParagraph"/>
              <w:spacing w:line="214" w:lineRule="exact"/>
              <w:ind w:left="8" w:right="1"/>
              <w:rPr>
                <w:rFonts w:ascii="Times New Roman" w:hAnsi="Times New Roman" w:cs="Times New Roman"/>
                <w:sz w:val="20"/>
                <w:szCs w:val="20"/>
              </w:rPr>
            </w:pPr>
            <w:r w:rsidRPr="006C36A3">
              <w:rPr>
                <w:rFonts w:ascii="Times New Roman" w:hAnsi="Times New Roman" w:cs="Times New Roman"/>
                <w:spacing w:val="-5"/>
                <w:w w:val="125"/>
                <w:sz w:val="20"/>
                <w:szCs w:val="20"/>
              </w:rPr>
              <w:t>[6]</w:t>
            </w:r>
          </w:p>
        </w:tc>
        <w:tc>
          <w:tcPr>
            <w:tcW w:w="1519" w:type="dxa"/>
          </w:tcPr>
          <w:p w14:paraId="41DD9C91"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z w:val="20"/>
                <w:szCs w:val="20"/>
              </w:rPr>
              <w:t xml:space="preserve">HMS, </w:t>
            </w:r>
            <w:r w:rsidRPr="006C36A3">
              <w:rPr>
                <w:rFonts w:ascii="Times New Roman" w:hAnsi="Times New Roman" w:cs="Times New Roman"/>
                <w:spacing w:val="-2"/>
                <w:sz w:val="20"/>
                <w:szCs w:val="20"/>
              </w:rPr>
              <w:t>ELMAR</w:t>
            </w:r>
          </w:p>
        </w:tc>
        <w:tc>
          <w:tcPr>
            <w:tcW w:w="1325" w:type="dxa"/>
          </w:tcPr>
          <w:p w14:paraId="6DCC4934"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pacing w:val="-2"/>
                <w:sz w:val="20"/>
                <w:szCs w:val="20"/>
              </w:rPr>
              <w:t>Ensemble</w:t>
            </w:r>
            <w:r w:rsidRPr="006C36A3">
              <w:rPr>
                <w:rFonts w:ascii="Times New Roman" w:hAnsi="Times New Roman" w:cs="Times New Roman"/>
                <w:spacing w:val="-3"/>
                <w:sz w:val="20"/>
                <w:szCs w:val="20"/>
              </w:rPr>
              <w:t xml:space="preserve"> </w:t>
            </w:r>
            <w:r w:rsidRPr="006C36A3">
              <w:rPr>
                <w:rFonts w:ascii="Times New Roman" w:hAnsi="Times New Roman" w:cs="Times New Roman"/>
                <w:spacing w:val="-5"/>
                <w:sz w:val="20"/>
                <w:szCs w:val="20"/>
              </w:rPr>
              <w:t>DL</w:t>
            </w:r>
          </w:p>
        </w:tc>
        <w:tc>
          <w:tcPr>
            <w:tcW w:w="1120" w:type="dxa"/>
          </w:tcPr>
          <w:p w14:paraId="51214A9F" w14:textId="77777777" w:rsidR="003535B2" w:rsidRPr="006C36A3" w:rsidRDefault="003535B2" w:rsidP="003535B2">
            <w:pPr>
              <w:pStyle w:val="TableParagraph"/>
              <w:ind w:left="10"/>
              <w:rPr>
                <w:rFonts w:ascii="Times New Roman" w:hAnsi="Times New Roman" w:cs="Times New Roman"/>
                <w:sz w:val="20"/>
                <w:szCs w:val="20"/>
              </w:rPr>
            </w:pPr>
            <w:r w:rsidRPr="006C36A3">
              <w:rPr>
                <w:rFonts w:ascii="Times New Roman" w:hAnsi="Times New Roman" w:cs="Times New Roman"/>
                <w:sz w:val="20"/>
                <w:szCs w:val="20"/>
              </w:rPr>
              <w:t>Acc.</w:t>
            </w:r>
            <w:r w:rsidRPr="006C36A3">
              <w:rPr>
                <w:rFonts w:ascii="Times New Roman" w:hAnsi="Times New Roman" w:cs="Times New Roman"/>
                <w:spacing w:val="41"/>
                <w:sz w:val="20"/>
                <w:szCs w:val="20"/>
              </w:rPr>
              <w:t xml:space="preserve"> </w:t>
            </w:r>
            <w:r w:rsidRPr="006C36A3">
              <w:rPr>
                <w:rFonts w:ascii="Times New Roman" w:hAnsi="Times New Roman" w:cs="Times New Roman"/>
                <w:sz w:val="20"/>
                <w:szCs w:val="20"/>
              </w:rPr>
              <w:t>(60%-</w:t>
            </w:r>
            <w:r w:rsidRPr="006C36A3">
              <w:rPr>
                <w:rFonts w:ascii="Times New Roman" w:hAnsi="Times New Roman" w:cs="Times New Roman"/>
                <w:spacing w:val="-4"/>
                <w:sz w:val="20"/>
                <w:szCs w:val="20"/>
              </w:rPr>
              <w:t>70%)</w:t>
            </w:r>
          </w:p>
        </w:tc>
      </w:tr>
      <w:tr w:rsidR="003535B2" w:rsidRPr="006C36A3" w14:paraId="5D812C21" w14:textId="77777777" w:rsidTr="00281FB8">
        <w:trPr>
          <w:trHeight w:val="239"/>
        </w:trPr>
        <w:tc>
          <w:tcPr>
            <w:tcW w:w="846" w:type="dxa"/>
          </w:tcPr>
          <w:p w14:paraId="68F7B570" w14:textId="77777777" w:rsidR="003535B2" w:rsidRPr="006C36A3" w:rsidRDefault="003535B2" w:rsidP="003535B2">
            <w:pPr>
              <w:pStyle w:val="TableParagraph"/>
              <w:spacing w:line="214" w:lineRule="exact"/>
              <w:ind w:left="8" w:right="1"/>
              <w:rPr>
                <w:rFonts w:ascii="Times New Roman" w:hAnsi="Times New Roman" w:cs="Times New Roman"/>
                <w:sz w:val="20"/>
                <w:szCs w:val="20"/>
              </w:rPr>
            </w:pPr>
            <w:r w:rsidRPr="006C36A3">
              <w:rPr>
                <w:rFonts w:ascii="Times New Roman" w:hAnsi="Times New Roman" w:cs="Times New Roman"/>
                <w:spacing w:val="-5"/>
                <w:w w:val="125"/>
                <w:sz w:val="20"/>
                <w:szCs w:val="20"/>
              </w:rPr>
              <w:t>[8]</w:t>
            </w:r>
          </w:p>
        </w:tc>
        <w:tc>
          <w:tcPr>
            <w:tcW w:w="1519" w:type="dxa"/>
          </w:tcPr>
          <w:p w14:paraId="01F8810D"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z w:val="20"/>
                <w:szCs w:val="20"/>
              </w:rPr>
              <w:t>HMS</w:t>
            </w:r>
            <w:r w:rsidRPr="006C36A3">
              <w:rPr>
                <w:rFonts w:ascii="Times New Roman" w:hAnsi="Times New Roman" w:cs="Times New Roman"/>
                <w:spacing w:val="-3"/>
                <w:sz w:val="20"/>
                <w:szCs w:val="20"/>
              </w:rPr>
              <w:t xml:space="preserve"> </w:t>
            </w:r>
            <w:r w:rsidRPr="006C36A3">
              <w:rPr>
                <w:rFonts w:ascii="Times New Roman" w:hAnsi="Times New Roman" w:cs="Times New Roman"/>
                <w:spacing w:val="-2"/>
                <w:sz w:val="20"/>
                <w:szCs w:val="20"/>
              </w:rPr>
              <w:t>Kaggle</w:t>
            </w:r>
          </w:p>
        </w:tc>
        <w:tc>
          <w:tcPr>
            <w:tcW w:w="1325" w:type="dxa"/>
          </w:tcPr>
          <w:p w14:paraId="357B90C3"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pacing w:val="-5"/>
                <w:sz w:val="20"/>
                <w:szCs w:val="20"/>
              </w:rPr>
              <w:t>Hybrid</w:t>
            </w:r>
            <w:r w:rsidRPr="006C36A3">
              <w:rPr>
                <w:rFonts w:ascii="Times New Roman" w:hAnsi="Times New Roman" w:cs="Times New Roman"/>
                <w:sz w:val="20"/>
                <w:szCs w:val="20"/>
              </w:rPr>
              <w:t xml:space="preserve"> </w:t>
            </w:r>
            <w:r w:rsidRPr="006C36A3">
              <w:rPr>
                <w:rFonts w:ascii="Times New Roman" w:hAnsi="Times New Roman" w:cs="Times New Roman"/>
                <w:spacing w:val="-5"/>
                <w:sz w:val="20"/>
                <w:szCs w:val="20"/>
              </w:rPr>
              <w:t>DL</w:t>
            </w:r>
          </w:p>
        </w:tc>
        <w:tc>
          <w:tcPr>
            <w:tcW w:w="1120" w:type="dxa"/>
          </w:tcPr>
          <w:p w14:paraId="606D55CB" w14:textId="77777777" w:rsidR="003535B2" w:rsidRPr="006C36A3" w:rsidRDefault="003535B2" w:rsidP="003535B2">
            <w:pPr>
              <w:pStyle w:val="TableParagraph"/>
              <w:ind w:left="10"/>
              <w:rPr>
                <w:rFonts w:ascii="Times New Roman" w:hAnsi="Times New Roman" w:cs="Times New Roman"/>
                <w:sz w:val="20"/>
                <w:szCs w:val="20"/>
              </w:rPr>
            </w:pPr>
            <w:r w:rsidRPr="006C36A3">
              <w:rPr>
                <w:rFonts w:ascii="Times New Roman" w:hAnsi="Times New Roman" w:cs="Times New Roman"/>
                <w:sz w:val="20"/>
                <w:szCs w:val="20"/>
              </w:rPr>
              <w:t>Acc.</w:t>
            </w:r>
            <w:r w:rsidRPr="006C36A3">
              <w:rPr>
                <w:rFonts w:ascii="Times New Roman" w:hAnsi="Times New Roman" w:cs="Times New Roman"/>
                <w:spacing w:val="41"/>
                <w:sz w:val="20"/>
                <w:szCs w:val="20"/>
              </w:rPr>
              <w:t xml:space="preserve"> </w:t>
            </w:r>
            <w:r w:rsidRPr="006C36A3">
              <w:rPr>
                <w:rFonts w:ascii="Times New Roman" w:hAnsi="Times New Roman" w:cs="Times New Roman"/>
                <w:sz w:val="20"/>
                <w:szCs w:val="20"/>
              </w:rPr>
              <w:t>(50%-</w:t>
            </w:r>
            <w:r w:rsidRPr="006C36A3">
              <w:rPr>
                <w:rFonts w:ascii="Times New Roman" w:hAnsi="Times New Roman" w:cs="Times New Roman"/>
                <w:spacing w:val="-4"/>
                <w:sz w:val="20"/>
                <w:szCs w:val="20"/>
              </w:rPr>
              <w:t>65%)</w:t>
            </w:r>
          </w:p>
        </w:tc>
      </w:tr>
      <w:tr w:rsidR="003535B2" w:rsidRPr="006C36A3" w14:paraId="03C62CF4" w14:textId="77777777" w:rsidTr="00281FB8">
        <w:trPr>
          <w:trHeight w:val="239"/>
        </w:trPr>
        <w:tc>
          <w:tcPr>
            <w:tcW w:w="846" w:type="dxa"/>
          </w:tcPr>
          <w:p w14:paraId="3F86D098" w14:textId="77777777" w:rsidR="003535B2" w:rsidRPr="006C36A3" w:rsidRDefault="003535B2" w:rsidP="003535B2">
            <w:pPr>
              <w:pStyle w:val="TableParagraph"/>
              <w:spacing w:line="214" w:lineRule="exact"/>
              <w:ind w:left="8" w:right="1"/>
              <w:rPr>
                <w:rFonts w:ascii="Times New Roman" w:hAnsi="Times New Roman" w:cs="Times New Roman"/>
                <w:sz w:val="20"/>
                <w:szCs w:val="20"/>
              </w:rPr>
            </w:pPr>
            <w:r w:rsidRPr="006C36A3">
              <w:rPr>
                <w:rFonts w:ascii="Times New Roman" w:hAnsi="Times New Roman" w:cs="Times New Roman"/>
                <w:spacing w:val="-4"/>
                <w:w w:val="115"/>
                <w:sz w:val="20"/>
                <w:szCs w:val="20"/>
              </w:rPr>
              <w:t>[10]</w:t>
            </w:r>
          </w:p>
        </w:tc>
        <w:tc>
          <w:tcPr>
            <w:tcW w:w="1519" w:type="dxa"/>
          </w:tcPr>
          <w:p w14:paraId="31FD328F" w14:textId="6181160F" w:rsidR="003535B2" w:rsidRPr="006C36A3" w:rsidRDefault="00534DAD" w:rsidP="003535B2">
            <w:pPr>
              <w:pStyle w:val="TableParagraph"/>
              <w:rPr>
                <w:rFonts w:ascii="Times New Roman" w:hAnsi="Times New Roman" w:cs="Times New Roman"/>
                <w:sz w:val="20"/>
                <w:szCs w:val="20"/>
              </w:rPr>
            </w:pPr>
            <w:r w:rsidRPr="006C36A3">
              <w:rPr>
                <w:rFonts w:ascii="Times New Roman" w:hAnsi="Times New Roman" w:cs="Times New Roman"/>
                <w:spacing w:val="-2"/>
                <w:sz w:val="20"/>
                <w:szCs w:val="20"/>
              </w:rPr>
              <w:t>Spatial</w:t>
            </w:r>
            <w:r w:rsidR="003535B2" w:rsidRPr="006C36A3">
              <w:rPr>
                <w:rFonts w:ascii="Times New Roman" w:hAnsi="Times New Roman" w:cs="Times New Roman"/>
                <w:spacing w:val="-2"/>
                <w:sz w:val="20"/>
                <w:szCs w:val="20"/>
              </w:rPr>
              <w:t>-temporal</w:t>
            </w:r>
            <w:r w:rsidR="003535B2" w:rsidRPr="006C36A3">
              <w:rPr>
                <w:rFonts w:ascii="Times New Roman" w:hAnsi="Times New Roman" w:cs="Times New Roman"/>
                <w:spacing w:val="12"/>
                <w:sz w:val="20"/>
                <w:szCs w:val="20"/>
              </w:rPr>
              <w:t xml:space="preserve"> </w:t>
            </w:r>
            <w:r w:rsidR="003535B2" w:rsidRPr="006C36A3">
              <w:rPr>
                <w:rFonts w:ascii="Times New Roman" w:hAnsi="Times New Roman" w:cs="Times New Roman"/>
                <w:spacing w:val="-5"/>
                <w:sz w:val="20"/>
                <w:szCs w:val="20"/>
              </w:rPr>
              <w:t>EEG</w:t>
            </w:r>
          </w:p>
        </w:tc>
        <w:tc>
          <w:tcPr>
            <w:tcW w:w="1325" w:type="dxa"/>
          </w:tcPr>
          <w:p w14:paraId="59895B89" w14:textId="77777777" w:rsidR="003535B2" w:rsidRPr="006C36A3" w:rsidRDefault="003535B2" w:rsidP="003535B2">
            <w:pPr>
              <w:pStyle w:val="TableParagraph"/>
              <w:rPr>
                <w:rFonts w:ascii="Times New Roman" w:hAnsi="Times New Roman" w:cs="Times New Roman"/>
                <w:sz w:val="20"/>
                <w:szCs w:val="20"/>
              </w:rPr>
            </w:pPr>
            <w:r w:rsidRPr="006C36A3">
              <w:rPr>
                <w:rFonts w:ascii="Times New Roman" w:hAnsi="Times New Roman" w:cs="Times New Roman"/>
                <w:spacing w:val="-5"/>
                <w:sz w:val="20"/>
                <w:szCs w:val="20"/>
              </w:rPr>
              <w:t>SNN</w:t>
            </w:r>
          </w:p>
        </w:tc>
        <w:tc>
          <w:tcPr>
            <w:tcW w:w="1120" w:type="dxa"/>
          </w:tcPr>
          <w:p w14:paraId="05896A78" w14:textId="77777777" w:rsidR="003535B2" w:rsidRPr="006C36A3" w:rsidRDefault="003535B2" w:rsidP="003535B2">
            <w:pPr>
              <w:pStyle w:val="TableParagraph"/>
              <w:ind w:left="10"/>
              <w:rPr>
                <w:rFonts w:ascii="Times New Roman" w:hAnsi="Times New Roman" w:cs="Times New Roman"/>
                <w:sz w:val="20"/>
                <w:szCs w:val="20"/>
              </w:rPr>
            </w:pPr>
            <w:r w:rsidRPr="006C36A3">
              <w:rPr>
                <w:rFonts w:ascii="Times New Roman" w:hAnsi="Times New Roman" w:cs="Times New Roman"/>
                <w:sz w:val="20"/>
                <w:szCs w:val="20"/>
              </w:rPr>
              <w:t>Acc.</w:t>
            </w:r>
            <w:r w:rsidRPr="006C36A3">
              <w:rPr>
                <w:rFonts w:ascii="Times New Roman" w:hAnsi="Times New Roman" w:cs="Times New Roman"/>
                <w:spacing w:val="41"/>
                <w:sz w:val="20"/>
                <w:szCs w:val="20"/>
              </w:rPr>
              <w:t xml:space="preserve"> </w:t>
            </w:r>
            <w:r w:rsidRPr="006C36A3">
              <w:rPr>
                <w:rFonts w:ascii="Times New Roman" w:hAnsi="Times New Roman" w:cs="Times New Roman"/>
                <w:sz w:val="20"/>
                <w:szCs w:val="20"/>
              </w:rPr>
              <w:t>(70%-</w:t>
            </w:r>
            <w:r w:rsidRPr="006C36A3">
              <w:rPr>
                <w:rFonts w:ascii="Times New Roman" w:hAnsi="Times New Roman" w:cs="Times New Roman"/>
                <w:spacing w:val="-4"/>
                <w:sz w:val="20"/>
                <w:szCs w:val="20"/>
              </w:rPr>
              <w:t>85%)</w:t>
            </w:r>
          </w:p>
        </w:tc>
      </w:tr>
      <w:tr w:rsidR="003535B2" w:rsidRPr="006C36A3" w14:paraId="46243AD0" w14:textId="77777777" w:rsidTr="00281FB8">
        <w:trPr>
          <w:trHeight w:val="239"/>
        </w:trPr>
        <w:tc>
          <w:tcPr>
            <w:tcW w:w="846" w:type="dxa"/>
          </w:tcPr>
          <w:p w14:paraId="64B73852" w14:textId="77777777" w:rsidR="003535B2" w:rsidRPr="006C36A3" w:rsidRDefault="003535B2" w:rsidP="003535B2">
            <w:pPr>
              <w:pStyle w:val="TableParagraph"/>
              <w:spacing w:line="214" w:lineRule="exact"/>
              <w:ind w:left="8" w:right="1"/>
              <w:rPr>
                <w:rFonts w:ascii="Times New Roman" w:hAnsi="Times New Roman" w:cs="Times New Roman"/>
                <w:sz w:val="20"/>
                <w:szCs w:val="20"/>
              </w:rPr>
            </w:pPr>
            <w:r w:rsidRPr="006C36A3">
              <w:rPr>
                <w:rFonts w:ascii="Times New Roman" w:hAnsi="Times New Roman" w:cs="Times New Roman"/>
                <w:spacing w:val="-4"/>
                <w:w w:val="115"/>
                <w:sz w:val="20"/>
                <w:szCs w:val="20"/>
              </w:rPr>
              <w:t>[16]</w:t>
            </w:r>
          </w:p>
        </w:tc>
        <w:tc>
          <w:tcPr>
            <w:tcW w:w="1519" w:type="dxa"/>
          </w:tcPr>
          <w:p w14:paraId="63F89E05" w14:textId="74385429" w:rsidR="003535B2" w:rsidRPr="006C36A3" w:rsidRDefault="003535B2" w:rsidP="003535B2">
            <w:pPr>
              <w:pStyle w:val="TableParagraph"/>
              <w:spacing w:line="220" w:lineRule="exact"/>
              <w:rPr>
                <w:rFonts w:ascii="Times New Roman" w:hAnsi="Times New Roman" w:cs="Times New Roman"/>
                <w:sz w:val="20"/>
                <w:szCs w:val="20"/>
              </w:rPr>
            </w:pPr>
            <w:r w:rsidRPr="006C36A3">
              <w:rPr>
                <w:rFonts w:ascii="Times New Roman" w:hAnsi="Times New Roman" w:cs="Times New Roman"/>
                <w:sz w:val="20"/>
                <w:szCs w:val="20"/>
              </w:rPr>
              <w:t>Brain</w:t>
            </w:r>
            <w:r w:rsidRPr="006C36A3">
              <w:rPr>
                <w:rFonts w:ascii="Times New Roman" w:hAnsi="Times New Roman" w:cs="Times New Roman"/>
                <w:spacing w:val="-1"/>
                <w:sz w:val="20"/>
                <w:szCs w:val="20"/>
              </w:rPr>
              <w:t xml:space="preserve"> </w:t>
            </w:r>
            <w:r w:rsidR="00534DAD" w:rsidRPr="006C36A3">
              <w:rPr>
                <w:rFonts w:ascii="Times New Roman" w:hAnsi="Times New Roman" w:cs="Times New Roman"/>
                <w:sz w:val="20"/>
                <w:szCs w:val="20"/>
              </w:rPr>
              <w:t>Tumor</w:t>
            </w:r>
            <w:r w:rsidRPr="006C36A3">
              <w:rPr>
                <w:rFonts w:ascii="Times New Roman" w:hAnsi="Times New Roman" w:cs="Times New Roman"/>
                <w:spacing w:val="-1"/>
                <w:sz w:val="20"/>
                <w:szCs w:val="20"/>
              </w:rPr>
              <w:t xml:space="preserve"> </w:t>
            </w:r>
            <w:r w:rsidRPr="006C36A3">
              <w:rPr>
                <w:rFonts w:ascii="Times New Roman" w:hAnsi="Times New Roman" w:cs="Times New Roman"/>
                <w:spacing w:val="-2"/>
                <w:sz w:val="20"/>
                <w:szCs w:val="20"/>
              </w:rPr>
              <w:t>(EEG)</w:t>
            </w:r>
          </w:p>
        </w:tc>
        <w:tc>
          <w:tcPr>
            <w:tcW w:w="1325" w:type="dxa"/>
          </w:tcPr>
          <w:p w14:paraId="53D305CC" w14:textId="77777777" w:rsidR="003535B2" w:rsidRPr="006C36A3" w:rsidRDefault="003535B2" w:rsidP="003535B2">
            <w:pPr>
              <w:pStyle w:val="TableParagraph"/>
              <w:spacing w:line="220" w:lineRule="exact"/>
              <w:rPr>
                <w:rFonts w:ascii="Times New Roman" w:hAnsi="Times New Roman" w:cs="Times New Roman"/>
                <w:sz w:val="20"/>
                <w:szCs w:val="20"/>
              </w:rPr>
            </w:pPr>
            <w:r w:rsidRPr="006C36A3">
              <w:rPr>
                <w:rFonts w:ascii="Times New Roman" w:hAnsi="Times New Roman" w:cs="Times New Roman"/>
                <w:spacing w:val="-5"/>
                <w:sz w:val="20"/>
                <w:szCs w:val="20"/>
              </w:rPr>
              <w:t>Hybrid</w:t>
            </w:r>
            <w:r w:rsidRPr="006C36A3">
              <w:rPr>
                <w:rFonts w:ascii="Times New Roman" w:hAnsi="Times New Roman" w:cs="Times New Roman"/>
                <w:sz w:val="20"/>
                <w:szCs w:val="20"/>
              </w:rPr>
              <w:t xml:space="preserve"> </w:t>
            </w:r>
            <w:r w:rsidRPr="006C36A3">
              <w:rPr>
                <w:rFonts w:ascii="Times New Roman" w:hAnsi="Times New Roman" w:cs="Times New Roman"/>
                <w:spacing w:val="-5"/>
                <w:sz w:val="20"/>
                <w:szCs w:val="20"/>
              </w:rPr>
              <w:t>DL</w:t>
            </w:r>
          </w:p>
        </w:tc>
        <w:tc>
          <w:tcPr>
            <w:tcW w:w="1120" w:type="dxa"/>
          </w:tcPr>
          <w:p w14:paraId="61925719" w14:textId="77777777" w:rsidR="003535B2" w:rsidRPr="006C36A3" w:rsidRDefault="003535B2" w:rsidP="003535B2">
            <w:pPr>
              <w:pStyle w:val="TableParagraph"/>
              <w:spacing w:line="220" w:lineRule="exact"/>
              <w:ind w:left="10"/>
              <w:rPr>
                <w:rFonts w:ascii="Times New Roman" w:hAnsi="Times New Roman" w:cs="Times New Roman"/>
                <w:sz w:val="20"/>
                <w:szCs w:val="20"/>
              </w:rPr>
            </w:pPr>
            <w:r w:rsidRPr="006C36A3">
              <w:rPr>
                <w:rFonts w:ascii="Times New Roman" w:hAnsi="Times New Roman" w:cs="Times New Roman"/>
                <w:sz w:val="20"/>
                <w:szCs w:val="20"/>
              </w:rPr>
              <w:t>Acc.</w:t>
            </w:r>
            <w:r w:rsidRPr="006C36A3">
              <w:rPr>
                <w:rFonts w:ascii="Times New Roman" w:hAnsi="Times New Roman" w:cs="Times New Roman"/>
                <w:spacing w:val="41"/>
                <w:sz w:val="20"/>
                <w:szCs w:val="20"/>
              </w:rPr>
              <w:t xml:space="preserve"> </w:t>
            </w:r>
            <w:r w:rsidRPr="006C36A3">
              <w:rPr>
                <w:rFonts w:ascii="Times New Roman" w:hAnsi="Times New Roman" w:cs="Times New Roman"/>
                <w:sz w:val="20"/>
                <w:szCs w:val="20"/>
              </w:rPr>
              <w:t>(80%-</w:t>
            </w:r>
            <w:r w:rsidRPr="006C36A3">
              <w:rPr>
                <w:rFonts w:ascii="Times New Roman" w:hAnsi="Times New Roman" w:cs="Times New Roman"/>
                <w:spacing w:val="-4"/>
                <w:sz w:val="20"/>
                <w:szCs w:val="20"/>
              </w:rPr>
              <w:t>90%)</w:t>
            </w:r>
          </w:p>
        </w:tc>
      </w:tr>
    </w:tbl>
    <w:p w14:paraId="54462DC5" w14:textId="77777777" w:rsidR="00B46F0B" w:rsidRDefault="00283596" w:rsidP="00283596">
      <w:pPr>
        <w:pStyle w:val="H1"/>
      </w:pPr>
      <w:r>
        <w:t>IV</w:t>
      </w:r>
      <w:r w:rsidRPr="005C3955">
        <w:t>.</w:t>
      </w:r>
      <w:r>
        <w:rPr>
          <w:rFonts w:ascii="MS Gothic" w:eastAsia="MS Gothic" w:hAnsi="MS Gothic" w:cs="MS Gothic"/>
        </w:rPr>
        <w:t> </w:t>
      </w:r>
      <w:r>
        <w:t>SIGNAL PROCESSING TECHNIQUES</w:t>
      </w:r>
    </w:p>
    <w:p w14:paraId="17AA5FE7" w14:textId="1B5E8222" w:rsidR="00B46F0B" w:rsidRPr="00B46F0B" w:rsidRDefault="00B46F0B" w:rsidP="00B46F0B">
      <w:pPr>
        <w:pStyle w:val="H2"/>
        <w:rPr>
          <w:rFonts w:cs="Helvetica"/>
        </w:rPr>
      </w:pPr>
      <w:r w:rsidRPr="00B46F0B">
        <w:rPr>
          <w:rFonts w:cs="Helvetica"/>
        </w:rPr>
        <w:t>A.</w:t>
      </w:r>
      <w:r w:rsidRPr="00B46F0B">
        <w:rPr>
          <w:rFonts w:eastAsia="MS Gothic" w:cs="Helvetica"/>
        </w:rPr>
        <w:t> </w:t>
      </w:r>
      <w:r w:rsidRPr="00B46F0B">
        <w:rPr>
          <w:rFonts w:eastAsia="MS Gothic" w:cs="Helvetica"/>
        </w:rPr>
        <w:t>EEG SIGNAL FILTERING</w:t>
      </w:r>
    </w:p>
    <w:p w14:paraId="39BF5354" w14:textId="77777777" w:rsidR="00600A40" w:rsidRDefault="00600A40" w:rsidP="00600A40">
      <w:pPr>
        <w:pStyle w:val="PARAIndent"/>
        <w:ind w:firstLine="0"/>
      </w:pPr>
      <w:r>
        <w:t>To suppress noise and retain physiologically relevant signal components, we apply a third-order Butterworth bandpass filter to all EEG channels [3], [4]. This filter preserves neural oscillations in the 0.5–50 Hz range, encompassing the major frequency bands associated with cognitive and pathological brain states—δ, θ, α, β, and lower γ. The filter is defined by the transfer function:</w:t>
      </w:r>
    </w:p>
    <w:p w14:paraId="7178F671" w14:textId="77777777" w:rsidR="00600A40" w:rsidRPr="00D47BF1" w:rsidRDefault="00600A40" w:rsidP="00D47BF1">
      <w:pPr>
        <w:pStyle w:val="BodyText"/>
        <w:spacing w:before="71"/>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s</m:t>
                              </m:r>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ω</m:t>
                                  </m:r>
                                </m:e>
                                <m:sub>
                                  <m:r>
                                    <w:rPr>
                                      <w:rFonts w:ascii="Cambria Math" w:hAnsi="Cambria Math" w:cs="Times New Roman"/>
                                    </w:rPr>
                                    <m:t>c</m:t>
                                  </m:r>
                                </m:sub>
                              </m:sSub>
                              <m:ctrlPr>
                                <w:rPr>
                                  <w:rFonts w:ascii="Cambria Math" w:hAnsi="Cambria Math" w:cs="Times New Roman"/>
                                  <w:i/>
                                </w:rPr>
                              </m:ctrlPr>
                            </m:den>
                          </m:f>
                          <m:ctrlPr>
                            <w:rPr>
                              <w:rFonts w:ascii="Cambria Math" w:hAnsi="Cambria Math" w:cs="Times New Roman"/>
                              <w:i/>
                            </w:rPr>
                          </m:ctrlPr>
                        </m:e>
                      </m:d>
                    </m:e>
                    <m:sup>
                      <m:r>
                        <w:rPr>
                          <w:rFonts w:ascii="Cambria Math" w:hAnsi="Cambria Math" w:cs="Times New Roman"/>
                        </w:rPr>
                        <m:t>2n</m:t>
                      </m:r>
                    </m:sup>
                  </m:sSup>
                </m:e>
              </m:rad>
              <m:ctrlPr>
                <w:rPr>
                  <w:rFonts w:ascii="Cambria Math" w:hAnsi="Cambria Math" w:cs="Times New Roman"/>
                  <w:i/>
                </w:rPr>
              </m:ctrlPr>
            </m:den>
          </m:f>
        </m:oMath>
      </m:oMathPara>
    </w:p>
    <w:p w14:paraId="0FA9E03E" w14:textId="77777777" w:rsidR="00D47BF1" w:rsidRDefault="00600A40" w:rsidP="00600A40">
      <w:pPr>
        <w:pStyle w:val="PARAIndent"/>
        <w:ind w:firstLine="0"/>
        <w:rPr>
          <w:lang w:val="en-IN"/>
        </w:rPr>
      </w:pPr>
      <w:r w:rsidRPr="00600A40">
        <w:t>Where</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c</m:t>
            </m:r>
          </m:sub>
        </m:sSub>
      </m:oMath>
      <w:r w:rsidRPr="00600A40">
        <w:t xml:space="preserve"> is the cutoff frequency and </w:t>
      </w:r>
      <w:r w:rsidRPr="00600A40">
        <w:rPr>
          <w:i/>
          <w:iCs/>
        </w:rPr>
        <w:t>n</w:t>
      </w:r>
      <w:r w:rsidRPr="00600A40">
        <w:t>=3 is the filter order.</w:t>
      </w:r>
      <w:r w:rsidRPr="00600A40">
        <w:rPr>
          <w:lang w:val="en-IN" w:eastAsia="en-IN"/>
        </w:rPr>
        <w:t xml:space="preserve"> </w:t>
      </w:r>
      <w:r w:rsidRPr="00600A40">
        <w:rPr>
          <w:lang w:val="en-IN"/>
        </w:rPr>
        <w:t>The Butterworth filter was selected for its maximally flat frequency response, ensuring minimal phase distortion [12].</w:t>
      </w:r>
    </w:p>
    <w:p w14:paraId="3C56EC4A" w14:textId="6DB3B08A" w:rsidR="00D47BF1" w:rsidRPr="00D47BF1" w:rsidRDefault="00D47BF1" w:rsidP="00D47BF1">
      <w:pPr>
        <w:pStyle w:val="H2"/>
        <w:rPr>
          <w:rFonts w:eastAsia="MS Gothic" w:cs="Helvetica"/>
        </w:rPr>
      </w:pPr>
      <w:r>
        <w:rPr>
          <w:rFonts w:cs="Helvetica"/>
        </w:rPr>
        <w:t>B</w:t>
      </w:r>
      <w:r w:rsidRPr="00B46F0B">
        <w:rPr>
          <w:rFonts w:cs="Helvetica"/>
        </w:rPr>
        <w:t>.</w:t>
      </w:r>
      <w:r w:rsidRPr="00B46F0B">
        <w:rPr>
          <w:rFonts w:eastAsia="MS Gothic" w:cs="Helvetica"/>
        </w:rPr>
        <w:t> </w:t>
      </w:r>
      <w:r>
        <w:rPr>
          <w:rFonts w:eastAsia="MS Gothic" w:cs="Helvetica"/>
        </w:rPr>
        <w:t>ROBUST NORMALIZATION VIA MAD</w:t>
      </w:r>
    </w:p>
    <w:p w14:paraId="16EE899A" w14:textId="50A24864" w:rsidR="00D47BF1" w:rsidRDefault="00D47BF1" w:rsidP="00D47BF1">
      <w:pPr>
        <w:pStyle w:val="PARAIndent"/>
        <w:ind w:firstLine="0"/>
      </w:pPr>
      <w:r>
        <w:t>We normalize each EEG channel independently using the Median Absolute Deviation (MAD) method, which offers superior robustness to outliers compared to standard deviation. The normalized signal is computed as:</w:t>
      </w:r>
    </w:p>
    <w:p w14:paraId="0BEED307" w14:textId="77777777" w:rsidR="00D47BF1" w:rsidRPr="00D47BF1" w:rsidRDefault="00D47BF1" w:rsidP="00D47BF1">
      <w:pPr>
        <w:pStyle w:val="BodyText"/>
        <w:spacing w:before="71"/>
        <w:rPr>
          <w:rFonts w:ascii="Times New Roman" w:hAnsi="Times New Roman" w:cs="Times New Roman"/>
          <w:iCs/>
        </w:rPr>
      </w:pPr>
      <m:oMathPara>
        <m:oMath>
          <m:r>
            <m:rPr>
              <m:nor/>
            </m:rPr>
            <w:rPr>
              <w:rFonts w:ascii="Times New Roman" w:hAnsi="Times New Roman" w:cs="Times New Roman"/>
              <w:iCs/>
            </w:rPr>
            <m:t>X norm</m:t>
          </m:r>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X-</m:t>
              </m:r>
              <m:r>
                <m:rPr>
                  <m:nor/>
                </m:rPr>
                <w:rPr>
                  <w:rFonts w:ascii="Times New Roman" w:hAnsi="Times New Roman" w:cs="Times New Roman"/>
                  <w:iCs/>
                </w:rPr>
                <m:t>median</m:t>
              </m:r>
              <m:d>
                <m:dPr>
                  <m:ctrlPr>
                    <w:rPr>
                      <w:rFonts w:ascii="Cambria Math" w:hAnsi="Cambria Math" w:cs="Times New Roman"/>
                      <w:i/>
                      <w:iCs/>
                    </w:rPr>
                  </m:ctrlPr>
                </m:dPr>
                <m:e>
                  <m:r>
                    <w:rPr>
                      <w:rFonts w:ascii="Cambria Math" w:hAnsi="Cambria Math" w:cs="Times New Roman"/>
                    </w:rPr>
                    <m:t>X</m:t>
                  </m:r>
                </m:e>
              </m:d>
              <m:ctrlPr>
                <w:rPr>
                  <w:rFonts w:ascii="Cambria Math" w:hAnsi="Cambria Math" w:cs="Times New Roman"/>
                  <w:i/>
                  <w:iCs/>
                </w:rPr>
              </m:ctrlPr>
            </m:num>
            <m:den>
              <m:r>
                <m:rPr>
                  <m:nor/>
                </m:rPr>
                <w:rPr>
                  <w:rFonts w:ascii="Times New Roman" w:hAnsi="Times New Roman" w:cs="Times New Roman"/>
                  <w:iCs/>
                </w:rPr>
                <m:t>median</m:t>
              </m:r>
              <m:d>
                <m:dPr>
                  <m:ctrlPr>
                    <w:rPr>
                      <w:rFonts w:ascii="Cambria Math" w:hAnsi="Cambria Math" w:cs="Times New Roman"/>
                      <w:iCs/>
                    </w:rPr>
                  </m:ctrlPr>
                </m:dPr>
                <m:e>
                  <m:d>
                    <m:dPr>
                      <m:begChr m:val="|"/>
                      <m:endChr m:val="|"/>
                      <m:ctrlPr>
                        <w:rPr>
                          <w:rFonts w:ascii="Cambria Math" w:hAnsi="Cambria Math" w:cs="Times New Roman"/>
                          <w:iCs/>
                        </w:rPr>
                      </m:ctrlPr>
                    </m:dPr>
                    <m:e>
                      <m:r>
                        <w:rPr>
                          <w:rFonts w:ascii="Cambria Math" w:hAnsi="Cambria Math" w:cs="Times New Roman"/>
                        </w:rPr>
                        <m:t>X-</m:t>
                      </m:r>
                      <m:r>
                        <m:rPr>
                          <m:nor/>
                        </m:rPr>
                        <w:rPr>
                          <w:rFonts w:ascii="Times New Roman" w:hAnsi="Times New Roman" w:cs="Times New Roman"/>
                          <w:iCs/>
                        </w:rPr>
                        <m:t>median</m:t>
                      </m:r>
                      <m:d>
                        <m:dPr>
                          <m:ctrlPr>
                            <w:rPr>
                              <w:rFonts w:ascii="Cambria Math" w:hAnsi="Cambria Math" w:cs="Times New Roman"/>
                              <w:i/>
                              <w:iCs/>
                            </w:rPr>
                          </m:ctrlPr>
                        </m:dPr>
                        <m:e>
                          <m:r>
                            <w:rPr>
                              <w:rFonts w:ascii="Cambria Math" w:hAnsi="Cambria Math" w:cs="Times New Roman"/>
                            </w:rPr>
                            <m:t>X</m:t>
                          </m:r>
                        </m:e>
                      </m:d>
                      <m:ctrlPr>
                        <w:rPr>
                          <w:rFonts w:ascii="Cambria Math" w:hAnsi="Cambria Math" w:cs="Times New Roman"/>
                          <w:i/>
                          <w:iCs/>
                        </w:rPr>
                      </m:ctrlPr>
                    </m:e>
                  </m:d>
                  <m:ctrlPr>
                    <w:rPr>
                      <w:rFonts w:ascii="Cambria Math" w:hAnsi="Cambria Math" w:cs="Times New Roman"/>
                      <w:i/>
                      <w:iCs/>
                    </w:rPr>
                  </m:ctrlPr>
                </m:e>
              </m:d>
              <m:ctrlPr>
                <w:rPr>
                  <w:rFonts w:ascii="Cambria Math" w:hAnsi="Cambria Math" w:cs="Times New Roman"/>
                  <w:i/>
                  <w:iCs/>
                </w:rPr>
              </m:ctrlPr>
            </m:den>
          </m:f>
        </m:oMath>
      </m:oMathPara>
    </w:p>
    <w:p w14:paraId="43482B4A" w14:textId="089B639E" w:rsidR="00D47BF1" w:rsidRDefault="00D47BF1" w:rsidP="00D47BF1">
      <w:pPr>
        <w:pStyle w:val="PARAIndent"/>
        <w:ind w:firstLine="0"/>
        <w:rPr>
          <w:lang w:val="en-IN"/>
        </w:rPr>
      </w:pPr>
      <w:r w:rsidRPr="00D47BF1">
        <w:rPr>
          <w:lang w:val="en-IN"/>
        </w:rPr>
        <w:t>This ensures zero-centring and scale invariance across channels, which improves numerical stability during model training and preserves rare pathological features.</w:t>
      </w:r>
    </w:p>
    <w:p w14:paraId="3CDAC663" w14:textId="3089D937" w:rsidR="00D47BF1" w:rsidRPr="00D47BF1" w:rsidRDefault="00D47BF1" w:rsidP="00D47BF1">
      <w:pPr>
        <w:pStyle w:val="H2"/>
        <w:rPr>
          <w:rFonts w:eastAsia="MS Gothic" w:cs="Helvetica"/>
        </w:rPr>
      </w:pPr>
      <w:r>
        <w:rPr>
          <w:rFonts w:cs="Helvetica"/>
        </w:rPr>
        <w:t>C</w:t>
      </w:r>
      <w:r w:rsidRPr="00B46F0B">
        <w:rPr>
          <w:rFonts w:cs="Helvetica"/>
        </w:rPr>
        <w:t>.</w:t>
      </w:r>
      <w:r w:rsidRPr="00B46F0B">
        <w:rPr>
          <w:rFonts w:eastAsia="MS Gothic" w:cs="Helvetica"/>
        </w:rPr>
        <w:t> </w:t>
      </w:r>
      <w:r>
        <w:rPr>
          <w:rFonts w:eastAsia="MS Gothic" w:cs="Helvetica"/>
        </w:rPr>
        <w:t>EEG CHAIN FEATURE CONSTRUCTION</w:t>
      </w:r>
    </w:p>
    <w:p w14:paraId="179C79CE" w14:textId="3A78E84D" w:rsidR="00DE23AA" w:rsidRDefault="00DE23AA" w:rsidP="00DE23AA">
      <w:pPr>
        <w:pStyle w:val="PARAIndent"/>
        <w:ind w:firstLine="0"/>
      </w:pPr>
      <w:r>
        <w:t>To capture spatial gradients across adjacent brain regions, we compute EEG chain features by taking pairwise voltage differences between predefined electrode pairs (e.g., Fp1–F7, F7–T3), based on standard neurophysiological montages. These features are defined as:</w:t>
      </w:r>
    </w:p>
    <w:p w14:paraId="35FC6CCB" w14:textId="68F99FE3" w:rsidR="00DE23AA" w:rsidRPr="00DE23AA" w:rsidRDefault="00000000" w:rsidP="00D47BF1">
      <w:pPr>
        <w:pStyle w:val="PARAIndent"/>
        <w:ind w:firstLine="0"/>
        <w:rPr>
          <w:rFonts w:cs="Times New Roman"/>
        </w:rPr>
      </w:pPr>
      <m:oMathPara>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ij</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d>
            <m:dPr>
              <m:ctrlPr>
                <w:rPr>
                  <w:rFonts w:ascii="Cambria Math" w:hAnsi="Cambria Math" w:cs="Times New Roman"/>
                  <w:i/>
                  <w:iCs/>
                </w:rPr>
              </m:ctrlPr>
            </m:dPr>
            <m:e>
              <m:r>
                <w:rPr>
                  <w:rFonts w:ascii="Cambria Math" w:hAnsi="Cambria Math" w:cs="Times New Roman"/>
                </w:rPr>
                <m:t>t</m:t>
              </m:r>
            </m:e>
          </m:d>
        </m:oMath>
      </m:oMathPara>
    </w:p>
    <w:p w14:paraId="3461DE30" w14:textId="4E7E6A3F" w:rsidR="00DE23AA" w:rsidRDefault="00DE23AA" w:rsidP="00DE23AA">
      <w:pPr>
        <w:pStyle w:val="PARAIndent"/>
        <w:ind w:firstLine="0"/>
      </w:pPr>
      <w:r w:rsidRPr="00DE23AA">
        <w:rPr>
          <w:rFonts w:cs="Times New Roman"/>
          <w:iCs/>
        </w:rPr>
        <w:t xml:space="preserve">Where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iCs/>
              </w:rPr>
            </m:ctrlPr>
          </m:dPr>
          <m:e>
            <m:r>
              <w:rPr>
                <w:rFonts w:ascii="Cambria Math" w:hAnsi="Cambria Math" w:cs="Times New Roman"/>
              </w:rPr>
              <m:t>t</m:t>
            </m:r>
          </m:e>
        </m:d>
      </m:oMath>
      <w:r w:rsidRPr="00DE23AA">
        <w:rPr>
          <w:rFonts w:cs="Times New Roman"/>
          <w:iCs/>
        </w:rPr>
        <w:t xml:space="preserve"> and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d>
          <m:dPr>
            <m:ctrlPr>
              <w:rPr>
                <w:rFonts w:ascii="Cambria Math" w:hAnsi="Cambria Math" w:cs="Times New Roman"/>
                <w:i/>
                <w:iCs/>
              </w:rPr>
            </m:ctrlPr>
          </m:dPr>
          <m:e>
            <m:r>
              <w:rPr>
                <w:rFonts w:ascii="Cambria Math" w:hAnsi="Cambria Math" w:cs="Times New Roman"/>
              </w:rPr>
              <m:t>t</m:t>
            </m:r>
          </m:e>
        </m:d>
      </m:oMath>
      <w:r w:rsidRPr="00DE23AA">
        <w:rPr>
          <w:rFonts w:cs="Times New Roman"/>
          <w:iCs/>
        </w:rPr>
        <w:t xml:space="preserve"> are the time series from electrodes </w:t>
      </w:r>
      <w:r w:rsidRPr="00EC0D9D">
        <w:rPr>
          <w:rFonts w:cs="Times New Roman"/>
          <w:i/>
        </w:rPr>
        <w:t>i</w:t>
      </w:r>
      <w:r w:rsidRPr="00DE23AA">
        <w:rPr>
          <w:rFonts w:cs="Times New Roman"/>
          <w:iCs/>
        </w:rPr>
        <w:t xml:space="preserve"> and </w:t>
      </w:r>
      <w:r w:rsidRPr="00EC0D9D">
        <w:rPr>
          <w:rFonts w:cs="Times New Roman"/>
          <w:i/>
        </w:rPr>
        <w:t>j</w:t>
      </w:r>
      <w:r w:rsidRPr="00DE23AA">
        <w:rPr>
          <w:rFonts w:cs="Times New Roman"/>
          <w:iCs/>
        </w:rPr>
        <w:t xml:space="preserve"> respectively.</w:t>
      </w:r>
      <w:r w:rsidRPr="00DE23AA">
        <w:t xml:space="preserve"> </w:t>
      </w:r>
      <w:r>
        <w:t>This spatial representation enhances the model’s ability to detect localized patterns such as seizure onset or lateralized discharges.</w:t>
      </w:r>
    </w:p>
    <w:p w14:paraId="256E688E" w14:textId="0602F010" w:rsidR="00DE23AA" w:rsidRPr="00D47BF1" w:rsidRDefault="00DE23AA" w:rsidP="00DE23AA">
      <w:pPr>
        <w:pStyle w:val="H2"/>
        <w:rPr>
          <w:rFonts w:eastAsia="MS Gothic" w:cs="Helvetica"/>
        </w:rPr>
      </w:pPr>
      <w:r>
        <w:rPr>
          <w:rFonts w:cs="Helvetica"/>
        </w:rPr>
        <w:t>D</w:t>
      </w:r>
      <w:r w:rsidRPr="00B46F0B">
        <w:rPr>
          <w:rFonts w:cs="Helvetica"/>
        </w:rPr>
        <w:t>.</w:t>
      </w:r>
      <w:r w:rsidRPr="00B46F0B">
        <w:rPr>
          <w:rFonts w:eastAsia="MS Gothic" w:cs="Helvetica"/>
        </w:rPr>
        <w:t> </w:t>
      </w:r>
      <w:r>
        <w:rPr>
          <w:rFonts w:eastAsia="MS Gothic" w:cs="Helvetica"/>
        </w:rPr>
        <w:t>TIME-DOMAIN TRUNCATION AND PADDING</w:t>
      </w:r>
    </w:p>
    <w:p w14:paraId="2C22C5BD" w14:textId="6E70D922" w:rsidR="00486E60" w:rsidRDefault="00DE23AA" w:rsidP="00486E60">
      <w:pPr>
        <w:pStyle w:val="PARA"/>
      </w:pPr>
      <w:r>
        <w:t>To standardize input dimensions, each EEG recording is trimmed or zero-padded to a fixed duration of 10 seconds at a sampling rate of 250 Hz, resulting in a tensor of shape (19, 2500). This step ensures compatibility with batch-based model training and reduces computational overhead.</w:t>
      </w:r>
    </w:p>
    <w:p w14:paraId="55D3F787" w14:textId="3B045621" w:rsidR="00DE23AA" w:rsidRPr="00D47BF1" w:rsidRDefault="00DE23AA" w:rsidP="00DE23AA">
      <w:pPr>
        <w:pStyle w:val="H2"/>
        <w:rPr>
          <w:rFonts w:eastAsia="MS Gothic" w:cs="Helvetica"/>
        </w:rPr>
      </w:pPr>
      <w:r>
        <w:rPr>
          <w:rFonts w:cs="Helvetica"/>
        </w:rPr>
        <w:t>E</w:t>
      </w:r>
      <w:r w:rsidRPr="00B46F0B">
        <w:rPr>
          <w:rFonts w:cs="Helvetica"/>
        </w:rPr>
        <w:t>.</w:t>
      </w:r>
      <w:r w:rsidRPr="00B46F0B">
        <w:rPr>
          <w:rFonts w:eastAsia="MS Gothic" w:cs="Helvetica"/>
        </w:rPr>
        <w:t> </w:t>
      </w:r>
      <w:r>
        <w:rPr>
          <w:rFonts w:eastAsia="MS Gothic" w:cs="Helvetica"/>
        </w:rPr>
        <w:t>SPECTOGRAM GENERATION VIA STFT</w:t>
      </w:r>
    </w:p>
    <w:p w14:paraId="5F7815EB" w14:textId="65DF2465" w:rsidR="00A21E81" w:rsidRDefault="00EC0D9D" w:rsidP="00CF1C08">
      <w:pPr>
        <w:pStyle w:val="PARA"/>
      </w:pPr>
      <w:r>
        <w:t xml:space="preserve">To capture time-varying frequency content, we transform the filtered EEG into spectrograms using the Short-Time Fourier Transform (STFT), following approaches from [6], [15], [16]. The STFT of a signal </w:t>
      </w:r>
      <w:r>
        <w:rPr>
          <w:rStyle w:val="katex-mathml"/>
        </w:rPr>
        <w:t>x(t)</w:t>
      </w:r>
      <w:r>
        <w:t xml:space="preserve"> with window function </w:t>
      </w:r>
      <w:r>
        <w:rPr>
          <w:rStyle w:val="katex-mathml"/>
        </w:rPr>
        <w:t>ω(t)</w:t>
      </w:r>
      <w:r>
        <w:t xml:space="preserve"> is defined as:</w:t>
      </w:r>
    </w:p>
    <w:p w14:paraId="162CE2C0" w14:textId="77777777" w:rsidR="00EC0D9D" w:rsidRPr="00CA4A9F" w:rsidRDefault="00000000" w:rsidP="00EC0D9D">
      <w:pPr>
        <w:pStyle w:val="BodyText"/>
        <w:spacing w:before="71"/>
        <w:rPr>
          <w:rFonts w:ascii="Times New Roman" w:eastAsia="Times New Roman" w:hAnsi="Times New Roman" w:cs="Times New Roman"/>
          <w:iCs/>
          <w:sz w:val="22"/>
          <w:szCs w:val="22"/>
        </w:rPr>
      </w:pPr>
      <m:oMathPara>
        <m:oMath>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m</m:t>
              </m:r>
            </m:sub>
          </m:sSub>
          <m:d>
            <m:dPr>
              <m:ctrlPr>
                <w:rPr>
                  <w:rFonts w:ascii="Cambria Math" w:hAnsi="Cambria Math"/>
                  <w:i/>
                  <w:iCs/>
                  <w:sz w:val="22"/>
                  <w:szCs w:val="22"/>
                </w:rPr>
              </m:ctrlPr>
            </m:dPr>
            <m:e>
              <m:r>
                <w:rPr>
                  <w:rFonts w:ascii="Cambria Math" w:hAnsi="Cambria Math"/>
                  <w:sz w:val="22"/>
                  <w:szCs w:val="22"/>
                </w:rPr>
                <m:t>ω</m:t>
              </m:r>
            </m:e>
          </m:d>
          <m:r>
            <w:rPr>
              <w:rFonts w:ascii="Cambria Math" w:hAnsi="Cambria Math"/>
              <w:sz w:val="22"/>
              <w:szCs w:val="22"/>
            </w:rPr>
            <m:t>=</m:t>
          </m:r>
          <m:nary>
            <m:naryPr>
              <m:chr m:val="∑"/>
              <m:ctrlPr>
                <w:rPr>
                  <w:rFonts w:ascii="Cambria Math" w:hAnsi="Cambria Math"/>
                  <w:iCs/>
                  <w:sz w:val="22"/>
                  <w:szCs w:val="22"/>
                </w:rPr>
              </m:ctrlPr>
            </m:naryPr>
            <m:sub>
              <m:r>
                <w:rPr>
                  <w:rFonts w:ascii="Cambria Math" w:hAnsi="Cambria Math"/>
                  <w:sz w:val="22"/>
                  <w:szCs w:val="22"/>
                </w:rPr>
                <m:t>n=-</m:t>
              </m:r>
              <m:r>
                <m:rPr>
                  <m:sty m:val="p"/>
                </m:rPr>
                <w:rPr>
                  <w:rFonts w:ascii="Cambria Math" w:hAnsi="Cambria Math"/>
                  <w:sz w:val="22"/>
                  <w:szCs w:val="22"/>
                </w:rPr>
                <m:t>∞</m:t>
              </m:r>
              <m:ctrlPr>
                <w:rPr>
                  <w:rFonts w:ascii="Cambria Math" w:hAnsi="Cambria Math"/>
                  <w:i/>
                  <w:iCs/>
                  <w:sz w:val="22"/>
                  <w:szCs w:val="22"/>
                </w:rPr>
              </m:ctrlPr>
            </m:sub>
            <m:sup>
              <m:r>
                <m:rPr>
                  <m:sty m:val="p"/>
                </m:rPr>
                <w:rPr>
                  <w:rFonts w:ascii="Cambria Math" w:hAnsi="Cambria Math"/>
                  <w:sz w:val="22"/>
                  <w:szCs w:val="22"/>
                </w:rPr>
                <m:t>∞</m:t>
              </m:r>
              <m:ctrlPr>
                <w:rPr>
                  <w:rFonts w:ascii="Cambria Math" w:hAnsi="Cambria Math"/>
                  <w:i/>
                  <w:iCs/>
                  <w:sz w:val="22"/>
                  <w:szCs w:val="22"/>
                </w:rPr>
              </m:ctrlPr>
            </m:sup>
            <m:e>
              <m:r>
                <w:rPr>
                  <w:rFonts w:ascii="Cambria Math" w:hAnsi="Cambria Math"/>
                  <w:sz w:val="22"/>
                  <w:szCs w:val="22"/>
                </w:rPr>
                <m:t>x</m:t>
              </m:r>
              <m:d>
                <m:dPr>
                  <m:ctrlPr>
                    <w:rPr>
                      <w:rFonts w:ascii="Cambria Math" w:hAnsi="Cambria Math"/>
                      <w:i/>
                      <w:iCs/>
                      <w:sz w:val="22"/>
                      <w:szCs w:val="22"/>
                    </w:rPr>
                  </m:ctrlPr>
                </m:dPr>
                <m:e>
                  <m:r>
                    <w:rPr>
                      <w:rFonts w:ascii="Cambria Math" w:hAnsi="Cambria Math"/>
                      <w:sz w:val="22"/>
                      <w:szCs w:val="22"/>
                    </w:rPr>
                    <m:t>n</m:t>
                  </m:r>
                </m:e>
              </m:d>
              <m:ctrlPr>
                <w:rPr>
                  <w:rFonts w:ascii="Cambria Math" w:hAnsi="Cambria Math"/>
                  <w:i/>
                  <w:iCs/>
                  <w:sz w:val="22"/>
                  <w:szCs w:val="22"/>
                </w:rPr>
              </m:ctrlPr>
            </m:e>
          </m:nary>
          <m:r>
            <m:rPr>
              <m:sty m:val="p"/>
            </m:rPr>
            <w:rPr>
              <w:rFonts w:ascii="Cambria Math" w:hAnsi="Cambria Math"/>
              <w:sz w:val="22"/>
              <w:szCs w:val="22"/>
            </w:rPr>
            <m:t>⋅</m:t>
          </m:r>
          <m:r>
            <w:rPr>
              <w:rFonts w:ascii="Cambria Math" w:hAnsi="Cambria Math"/>
              <w:sz w:val="22"/>
              <w:szCs w:val="22"/>
            </w:rPr>
            <m:t>ω</m:t>
          </m:r>
          <m:r>
            <m:rPr>
              <m:sty m:val="p"/>
            </m:rPr>
            <w:rPr>
              <w:rFonts w:ascii="Cambria Math" w:hAnsi="Cambria Math"/>
              <w:sz w:val="22"/>
              <w:szCs w:val="22"/>
            </w:rPr>
            <m:t>⋅</m:t>
          </m:r>
          <m:d>
            <m:dPr>
              <m:ctrlPr>
                <w:rPr>
                  <w:rFonts w:ascii="Cambria Math" w:hAnsi="Cambria Math"/>
                  <w:i/>
                  <w:iCs/>
                  <w:sz w:val="22"/>
                  <w:szCs w:val="22"/>
                </w:rPr>
              </m:ctrlPr>
            </m:dPr>
            <m:e>
              <m:r>
                <w:rPr>
                  <w:rFonts w:ascii="Cambria Math" w:hAnsi="Cambria Math"/>
                  <w:sz w:val="22"/>
                  <w:szCs w:val="22"/>
                </w:rPr>
                <m:t>n-mR</m:t>
              </m:r>
            </m:e>
          </m:d>
          <m:r>
            <m:rPr>
              <m:sty m:val="p"/>
            </m:rP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e</m:t>
              </m:r>
              <m:ctrlPr>
                <w:rPr>
                  <w:rFonts w:ascii="Cambria Math" w:hAnsi="Cambria Math"/>
                  <w:iCs/>
                  <w:sz w:val="22"/>
                  <w:szCs w:val="22"/>
                </w:rPr>
              </m:ctrlPr>
            </m:e>
            <m:sup>
              <m:r>
                <w:rPr>
                  <w:rFonts w:ascii="Cambria Math" w:hAnsi="Cambria Math"/>
                  <w:sz w:val="22"/>
                  <w:szCs w:val="22"/>
                </w:rPr>
                <m:t>-jωn</m:t>
              </m:r>
            </m:sup>
          </m:sSup>
        </m:oMath>
      </m:oMathPara>
    </w:p>
    <w:p w14:paraId="1EEA31E0" w14:textId="19882051" w:rsidR="00C04A0E" w:rsidRPr="00EC0D9D" w:rsidRDefault="00EC0D9D" w:rsidP="00EC0D9D">
      <w:pPr>
        <w:pStyle w:val="PARA"/>
      </w:pPr>
      <w:r w:rsidRPr="00EC0D9D">
        <w:rPr>
          <w:iCs/>
        </w:rPr>
        <w:t xml:space="preserve">where </w:t>
      </w:r>
      <w:r w:rsidRPr="00EC0D9D">
        <w:rPr>
          <w:i/>
        </w:rPr>
        <w:t>R</w:t>
      </w:r>
      <w:r w:rsidRPr="00EC0D9D">
        <w:rPr>
          <w:iCs/>
        </w:rPr>
        <w:t xml:space="preserve"> is the hop length. </w:t>
      </w:r>
      <w:r w:rsidRPr="00EC0D9D">
        <w:t>After computing the magnitude spectrogram, we apply a logarithmic transformation:</w:t>
      </w:r>
    </w:p>
    <w:p w14:paraId="3488DFE7" w14:textId="28313024" w:rsidR="00EC0D9D" w:rsidRPr="00EC0D9D" w:rsidRDefault="00000000" w:rsidP="00EC0D9D">
      <w:pPr>
        <w:pStyle w:val="PARA"/>
      </w:pPr>
      <m:oMathPara>
        <m:oMath>
          <m:sSub>
            <m:sSubPr>
              <m:ctrlPr>
                <w:rPr>
                  <w:rFonts w:ascii="Cambria Math" w:hAnsi="Cambria Math"/>
                  <w:i/>
                </w:rPr>
              </m:ctrlPr>
            </m:sSubPr>
            <m:e>
              <m:r>
                <w:rPr>
                  <w:rFonts w:ascii="Cambria Math" w:hAnsi="Cambria Math"/>
                </w:rPr>
                <m:t>S</m:t>
              </m:r>
            </m:e>
            <m:sub>
              <m:r>
                <m:rPr>
                  <m:nor/>
                </m:rPr>
                <m:t>log</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d>
                        <m:dPr>
                          <m:ctrlPr>
                            <w:rPr>
                              <w:rFonts w:ascii="Cambria Math" w:hAnsi="Cambria Math"/>
                              <w:i/>
                            </w:rPr>
                          </m:ctrlPr>
                        </m:dPr>
                        <m:e>
                          <m:r>
                            <m:rPr>
                              <m:sty m:val="p"/>
                            </m:rPr>
                            <w:rPr>
                              <w:rFonts w:ascii="Cambria Math" w:hAnsi="Cambria Math"/>
                            </w:rPr>
                            <m:t>ω</m:t>
                          </m:r>
                        </m:e>
                      </m:d>
                    </m:e>
                  </m:d>
                  <m:ctrlPr>
                    <w:rPr>
                      <w:rFonts w:ascii="Cambria Math" w:hAnsi="Cambria Math"/>
                      <w:i/>
                    </w:rPr>
                  </m:ctrlPr>
                </m:e>
              </m:d>
            </m:e>
          </m:func>
        </m:oMath>
      </m:oMathPara>
    </w:p>
    <w:p w14:paraId="4A2E57F9" w14:textId="57F9B48D" w:rsidR="00EC0D9D" w:rsidRDefault="00EC0D9D" w:rsidP="00EC0D9D">
      <w:pPr>
        <w:pStyle w:val="PARA"/>
      </w:pPr>
      <w:r>
        <w:t>followed by z-score normalization per frequency bin:</w:t>
      </w:r>
    </w:p>
    <w:p w14:paraId="100D71C9" w14:textId="77777777" w:rsidR="00EC0D9D" w:rsidRPr="00EC0D9D" w:rsidRDefault="00000000" w:rsidP="00EC0D9D">
      <w:pPr>
        <w:pStyle w:val="BodyText"/>
        <w:spacing w:before="71"/>
        <w:rPr>
          <w:sz w:val="22"/>
          <w:szCs w:val="22"/>
        </w:rPr>
      </w:pPr>
      <m:oMathPara>
        <m:oMath>
          <m:sSub>
            <m:sSubPr>
              <m:ctrlPr>
                <w:rPr>
                  <w:rFonts w:ascii="Cambria Math" w:hAnsi="Cambria Math"/>
                  <w:i/>
                  <w:sz w:val="22"/>
                  <w:szCs w:val="22"/>
                </w:rPr>
              </m:ctrlPr>
            </m:sSubPr>
            <m:e>
              <m:r>
                <w:rPr>
                  <w:rFonts w:ascii="Cambria Math" w:hAnsi="Cambria Math"/>
                  <w:sz w:val="22"/>
                  <w:szCs w:val="22"/>
                </w:rPr>
                <m:t>S</m:t>
              </m:r>
            </m:e>
            <m:sub>
              <m:r>
                <m:rPr>
                  <m:nor/>
                </m:rPr>
                <w:rPr>
                  <w:sz w:val="22"/>
                  <w:szCs w:val="22"/>
                </w:rPr>
                <m:t>norm</m:t>
              </m:r>
            </m:sub>
          </m:sSub>
          <m:r>
            <w:rPr>
              <w:rFonts w:asci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S</m:t>
                  </m:r>
                </m:e>
                <m:sub>
                  <m:r>
                    <m:rPr>
                      <m:nor/>
                    </m:rPr>
                    <w:rPr>
                      <w:sz w:val="22"/>
                      <w:szCs w:val="22"/>
                    </w:rPr>
                    <m:t>log</m:t>
                  </m:r>
                </m:sub>
              </m:sSub>
              <m:r>
                <w:rPr>
                  <w:rFonts w:ascii="Cambria Math"/>
                  <w:sz w:val="22"/>
                  <w:szCs w:val="22"/>
                </w:rPr>
                <m:t>-</m:t>
              </m:r>
              <m:r>
                <m:rPr>
                  <m:sty m:val="p"/>
                </m:rPr>
                <w:rPr>
                  <w:rFonts w:ascii="Cambria Math"/>
                  <w:sz w:val="22"/>
                  <w:szCs w:val="22"/>
                </w:rPr>
                <m:t>μ</m:t>
              </m:r>
              <m:ctrlPr>
                <w:rPr>
                  <w:rFonts w:ascii="Cambria Math" w:hAnsi="Cambria Math"/>
                  <w:i/>
                  <w:sz w:val="22"/>
                  <w:szCs w:val="22"/>
                </w:rPr>
              </m:ctrlPr>
            </m:num>
            <m:den>
              <m:r>
                <m:rPr>
                  <m:sty m:val="p"/>
                </m:rPr>
                <w:rPr>
                  <w:rFonts w:ascii="Cambria Math"/>
                  <w:sz w:val="22"/>
                  <w:szCs w:val="22"/>
                </w:rPr>
                <m:t>σ</m:t>
              </m:r>
              <m:ctrlPr>
                <w:rPr>
                  <w:rFonts w:ascii="Cambria Math" w:hAnsi="Cambria Math"/>
                  <w:i/>
                  <w:sz w:val="22"/>
                  <w:szCs w:val="22"/>
                </w:rPr>
              </m:ctrlPr>
            </m:den>
          </m:f>
        </m:oMath>
      </m:oMathPara>
    </w:p>
    <w:p w14:paraId="30CC38A6" w14:textId="7222CEEC" w:rsidR="00EC0D9D" w:rsidRPr="003E1C20" w:rsidRDefault="003E1C20" w:rsidP="003E1C20">
      <w:pPr>
        <w:pStyle w:val="BodyText"/>
        <w:spacing w:before="71"/>
        <w:jc w:val="both"/>
        <w:rPr>
          <w:rFonts w:ascii="Times New Roman" w:hAnsi="Times New Roman" w:cs="Times New Roman"/>
          <w:sz w:val="22"/>
          <w:szCs w:val="22"/>
        </w:rPr>
      </w:pPr>
      <w:r w:rsidRPr="003E1C20">
        <w:rPr>
          <w:rFonts w:ascii="Times New Roman" w:hAnsi="Times New Roman" w:cs="Times New Roman"/>
        </w:rPr>
        <w:t xml:space="preserve">where </w:t>
      </w:r>
      <w:r w:rsidRPr="003E1C20">
        <w:rPr>
          <w:rStyle w:val="katex-mathml"/>
          <w:rFonts w:ascii="Times New Roman" w:hAnsi="Times New Roman" w:cs="Times New Roman"/>
        </w:rPr>
        <w:t>μ</w:t>
      </w:r>
      <w:r w:rsidR="004A0C5E">
        <w:rPr>
          <w:rStyle w:val="katex-mathml"/>
          <w:rFonts w:ascii="Times New Roman" w:hAnsi="Times New Roman" w:cs="Times New Roman"/>
        </w:rPr>
        <w:t xml:space="preserve"> </w:t>
      </w:r>
      <w:r w:rsidRPr="003E1C20">
        <w:rPr>
          <w:rFonts w:ascii="Times New Roman" w:hAnsi="Times New Roman" w:cs="Times New Roman"/>
        </w:rPr>
        <w:t xml:space="preserve">and </w:t>
      </w:r>
      <w:r w:rsidRPr="003E1C20">
        <w:rPr>
          <w:rStyle w:val="katex-mathml"/>
          <w:rFonts w:ascii="Times New Roman" w:hAnsi="Times New Roman" w:cs="Times New Roman"/>
        </w:rPr>
        <w:t>σ</w:t>
      </w:r>
      <w:r>
        <w:rPr>
          <w:rStyle w:val="katex-mathml"/>
          <w:rFonts w:ascii="Times New Roman" w:hAnsi="Times New Roman" w:cs="Times New Roman"/>
        </w:rPr>
        <w:t xml:space="preserve"> </w:t>
      </w:r>
      <w:r w:rsidRPr="003E1C20">
        <w:rPr>
          <w:rFonts w:ascii="Times New Roman" w:hAnsi="Times New Roman" w:cs="Times New Roman"/>
        </w:rPr>
        <w:t>are computed across the spectrogram time frames. The spectrograms are resized to (4, 48, 112), representing four spatial brain regions and ensuring consistent input size for 2D convolutional models [6], [15].</w:t>
      </w:r>
    </w:p>
    <w:p w14:paraId="03526E88" w14:textId="6D3FEDEC" w:rsidR="0091745E" w:rsidRPr="0091745E" w:rsidRDefault="0091745E" w:rsidP="0091745E">
      <w:pPr>
        <w:pStyle w:val="H1"/>
      </w:pPr>
      <w:r>
        <w:t>V</w:t>
      </w:r>
      <w:r w:rsidRPr="005C3955">
        <w:t>.</w:t>
      </w:r>
      <w:r w:rsidR="003E1C20">
        <w:t xml:space="preserve"> MODEL ARCHITECTURE</w:t>
      </w:r>
      <w:r>
        <w:rPr>
          <w:rFonts w:ascii="MS Gothic" w:eastAsia="MS Gothic" w:hAnsi="MS Gothic" w:cs="MS Gothic"/>
        </w:rPr>
        <w:t> </w:t>
      </w:r>
    </w:p>
    <w:p w14:paraId="0C66F6E1" w14:textId="26B2E994" w:rsidR="0091745E" w:rsidRDefault="0033650C" w:rsidP="0091745E">
      <w:pPr>
        <w:pStyle w:val="PARA"/>
      </w:pPr>
      <w:r>
        <w:t xml:space="preserve">In this section, we evaluate a broad spectrum of machine learning and deep learning models—including traditional classifiers (Support Vector Machine, Random Forest), tree-based ensemble learners (XGBoost), and deep neural architectures (LSTM, ConvLSTM, EfficientNet-based CNNs)—for classifying harmful brain activity using raw EEG signals and spectrograms. The models are trained on expert-annotated data from the HMS-Harmful Brain Activity </w:t>
      </w:r>
      <w:r>
        <w:lastRenderedPageBreak/>
        <w:t>Classification dataset and benchmarked using metrics aligned with clinical labeling uncertainty. This comparative study provides insights into the trade-offs between model accuracy, generalization, and robustness in a realistic ICU monitoring setting.</w:t>
      </w:r>
    </w:p>
    <w:p w14:paraId="496C200D" w14:textId="164D0E0C" w:rsidR="0033650C" w:rsidRPr="00CF1C08" w:rsidRDefault="0033650C" w:rsidP="0033650C">
      <w:pPr>
        <w:pStyle w:val="H2NoSpace"/>
      </w:pPr>
      <w:r>
        <w:t>A</w:t>
      </w:r>
      <w:r w:rsidRPr="00791AA8">
        <w:t>.</w:t>
      </w:r>
      <w:r w:rsidRPr="007573E5">
        <w:rPr>
          <w:rFonts w:ascii="MS Gothic" w:eastAsia="MS Gothic" w:hAnsi="MS Gothic" w:cs="MS Gothic" w:hint="eastAsia"/>
        </w:rPr>
        <w:t> </w:t>
      </w:r>
      <w:r w:rsidRPr="00034A7F">
        <w:t xml:space="preserve"> E</w:t>
      </w:r>
      <w:r>
        <w:t>VALUATION METRIC</w:t>
      </w:r>
    </w:p>
    <w:p w14:paraId="45481392" w14:textId="20D19730" w:rsidR="0033650C" w:rsidRDefault="0033650C" w:rsidP="0033650C">
      <w:pPr>
        <w:pStyle w:val="PARAIndent"/>
        <w:ind w:firstLine="0"/>
        <w:rPr>
          <w:rFonts w:cs="Times New Roman"/>
          <w:lang w:val="en-IN"/>
        </w:rPr>
      </w:pPr>
      <w:r w:rsidRPr="0033650C">
        <w:rPr>
          <w:rFonts w:cs="Times New Roman"/>
          <w:lang w:val="en-IN"/>
        </w:rPr>
        <w:t>To evaluate the performance of the classification models, we adopt the Kullback–Leibler (KL) Divergence as the primary metric. This choice is motivated by the soft-label structure of the HMS-Harmful Brain Activity Classification dataset, where each training sample is annotated with a probability distribution over six clinical classes, based on expert consensus [1], [10].</w:t>
      </w:r>
    </w:p>
    <w:p w14:paraId="37E6F362" w14:textId="5EF81CBF" w:rsidR="0033650C" w:rsidRDefault="0033650C" w:rsidP="0033650C">
      <w:pPr>
        <w:pStyle w:val="PARAIndent"/>
        <w:ind w:firstLine="0"/>
        <w:rPr>
          <w:i/>
          <w:iCs/>
        </w:rPr>
      </w:pPr>
      <w:r>
        <w:t xml:space="preserve">The KL Divergence between the true soft label distribution </w:t>
      </w:r>
      <w:r w:rsidRPr="0033650C">
        <w:rPr>
          <w:i/>
          <w:iCs/>
        </w:rPr>
        <w:t>P</w:t>
      </w:r>
    </w:p>
    <w:p w14:paraId="423A77E1" w14:textId="00C0929F" w:rsidR="0033650C" w:rsidRDefault="0033650C" w:rsidP="0033650C">
      <w:pPr>
        <w:pStyle w:val="PARAIndent"/>
        <w:ind w:firstLine="0"/>
      </w:pPr>
      <w:r>
        <w:t xml:space="preserve">and the predicted distribution </w:t>
      </w:r>
      <w:r>
        <w:rPr>
          <w:i/>
          <w:iCs/>
        </w:rPr>
        <w:t>Q</w:t>
      </w:r>
      <w:r>
        <w:t xml:space="preserve"> is defined as:</w:t>
      </w:r>
    </w:p>
    <w:p w14:paraId="0B4EF018" w14:textId="77777777" w:rsidR="0033650C" w:rsidRPr="00C55A76" w:rsidRDefault="00000000" w:rsidP="0033650C">
      <w:pPr>
        <w:pStyle w:val="BodyText"/>
        <w:spacing w:before="97"/>
        <w:ind w:right="257"/>
        <w:rPr>
          <w:sz w:val="22"/>
          <w:szCs w:val="22"/>
        </w:rPr>
      </w:pPr>
      <m:oMathPara>
        <m:oMath>
          <m:sSub>
            <m:sSubPr>
              <m:ctrlPr>
                <w:rPr>
                  <w:rFonts w:ascii="Cambria Math" w:hAnsi="Cambria Math"/>
                  <w:i/>
                  <w:sz w:val="22"/>
                  <w:szCs w:val="22"/>
                </w:rPr>
              </m:ctrlPr>
            </m:sSubPr>
            <m:e>
              <m:r>
                <w:rPr>
                  <w:rFonts w:ascii="Cambria Math" w:hAnsi="Cambria Math"/>
                  <w:sz w:val="22"/>
                  <w:szCs w:val="22"/>
                </w:rPr>
                <m:t>D</m:t>
              </m:r>
            </m:e>
            <m:sub>
              <m:r>
                <m:rPr>
                  <m:nor/>
                </m:rPr>
                <w:rPr>
                  <w:sz w:val="22"/>
                  <w:szCs w:val="22"/>
                </w:rPr>
                <m:t>KL</m:t>
              </m:r>
            </m:sub>
          </m:sSub>
          <m:d>
            <m:dPr>
              <m:ctrlPr>
                <w:rPr>
                  <w:rFonts w:ascii="Cambria Math" w:hAnsi="Cambria Math"/>
                  <w:i/>
                  <w:sz w:val="22"/>
                  <w:szCs w:val="22"/>
                </w:rPr>
              </m:ctrlPr>
            </m:dPr>
            <m:e>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Q</m:t>
              </m:r>
            </m:e>
          </m:d>
          <m:r>
            <w:rPr>
              <w:rFonts w:ascii="Cambria Math"/>
              <w:sz w:val="22"/>
              <w:szCs w:val="22"/>
            </w:rPr>
            <m:t>=</m:t>
          </m:r>
          <m:nary>
            <m:naryPr>
              <m:chr m:val="∑"/>
              <m:supHide m:val="1"/>
              <m:ctrlPr>
                <w:rPr>
                  <w:rFonts w:ascii="Cambria Math" w:hAnsi="Cambria Math"/>
                  <w:sz w:val="22"/>
                  <w:szCs w:val="22"/>
                </w:rPr>
              </m:ctrlPr>
            </m:naryPr>
            <m:sub>
              <m:r>
                <w:rPr>
                  <w:rFonts w:ascii="Cambria Math" w:hAnsi="Cambria Math"/>
                  <w:sz w:val="22"/>
                  <w:szCs w:val="22"/>
                </w:rPr>
                <m:t>i</m:t>
              </m:r>
              <m:ctrlPr>
                <w:rPr>
                  <w:rFonts w:ascii="Cambria Math" w:hAnsi="Cambria Math"/>
                  <w:i/>
                  <w:sz w:val="22"/>
                  <w:szCs w:val="22"/>
                </w:rPr>
              </m:ctrlPr>
            </m:sub>
            <m:sup>
              <m:ctrlPr>
                <w:rPr>
                  <w:rFonts w:ascii="Cambria Math" w:hAnsi="Cambria Math"/>
                  <w:i/>
                  <w:sz w:val="22"/>
                  <w:szCs w:val="22"/>
                </w:rPr>
              </m:ctrlPr>
            </m:sup>
            <m:e>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i</m:t>
                  </m:r>
                </m:e>
              </m:d>
              <m:ctrlPr>
                <w:rPr>
                  <w:rFonts w:ascii="Cambria Math" w:hAnsi="Cambria Math"/>
                  <w:i/>
                  <w:sz w:val="22"/>
                  <w:szCs w:val="22"/>
                </w:rPr>
              </m:ctrlPr>
            </m:e>
          </m:nary>
          <m:func>
            <m:funcPr>
              <m:ctrlPr>
                <w:rPr>
                  <w:rFonts w:ascii="Cambria Math" w:hAnsi="Cambria Math"/>
                  <w:sz w:val="22"/>
                  <w:szCs w:val="22"/>
                </w:rPr>
              </m:ctrlPr>
            </m:funcPr>
            <m:fName>
              <m:r>
                <m:rPr>
                  <m:sty m:val="p"/>
                </m:rPr>
                <w:rPr>
                  <w:rFonts w:ascii="Cambria Math"/>
                  <w:sz w:val="22"/>
                  <w:szCs w:val="22"/>
                </w:rPr>
                <m:t>log</m:t>
              </m:r>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Q</m:t>
                      </m:r>
                      <m:d>
                        <m:dPr>
                          <m:ctrlPr>
                            <w:rPr>
                              <w:rFonts w:ascii="Cambria Math" w:hAnsi="Cambria Math"/>
                              <w:i/>
                              <w:sz w:val="22"/>
                              <w:szCs w:val="22"/>
                            </w:rPr>
                          </m:ctrlPr>
                        </m:dPr>
                        <m:e>
                          <m:r>
                            <w:rPr>
                              <w:rFonts w:ascii="Cambria Math" w:hAnsi="Cambria Math"/>
                              <w:sz w:val="22"/>
                              <w:szCs w:val="22"/>
                            </w:rPr>
                            <m:t>i</m:t>
                          </m:r>
                        </m:e>
                      </m:d>
                      <m:ctrlPr>
                        <w:rPr>
                          <w:rFonts w:ascii="Cambria Math" w:hAnsi="Cambria Math"/>
                          <w:i/>
                          <w:sz w:val="22"/>
                          <w:szCs w:val="22"/>
                        </w:rPr>
                      </m:ctrlPr>
                    </m:num>
                    <m:den>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i</m:t>
                          </m:r>
                        </m:e>
                      </m:d>
                      <m:ctrlPr>
                        <w:rPr>
                          <w:rFonts w:ascii="Cambria Math" w:hAnsi="Cambria Math"/>
                          <w:i/>
                          <w:sz w:val="22"/>
                          <w:szCs w:val="22"/>
                        </w:rPr>
                      </m:ctrlPr>
                    </m:den>
                  </m:f>
                  <m:ctrlPr>
                    <w:rPr>
                      <w:rFonts w:ascii="Cambria Math" w:hAnsi="Cambria Math"/>
                      <w:i/>
                      <w:sz w:val="22"/>
                      <w:szCs w:val="22"/>
                    </w:rPr>
                  </m:ctrlPr>
                </m:e>
              </m:d>
            </m:e>
          </m:func>
        </m:oMath>
      </m:oMathPara>
    </w:p>
    <w:p w14:paraId="112B87D3" w14:textId="3391F3AB" w:rsidR="0033650C" w:rsidRDefault="0033650C" w:rsidP="0033650C">
      <w:pPr>
        <w:pStyle w:val="PARAIndent"/>
        <w:ind w:firstLine="0"/>
      </w:pPr>
      <w:r>
        <w:t xml:space="preserve">where </w:t>
      </w:r>
      <w:r w:rsidRPr="0033650C">
        <w:rPr>
          <w:rStyle w:val="katex-mathml"/>
          <w:i/>
          <w:iCs/>
        </w:rPr>
        <w:t>N</w:t>
      </w:r>
      <w:r>
        <w:t xml:space="preserve"> is the number of classes, </w:t>
      </w:r>
      <w:r w:rsidRPr="0033650C">
        <w:rPr>
          <w:rStyle w:val="katex-mathml"/>
          <w:i/>
          <w:iCs/>
        </w:rPr>
        <w:t>P(i)</w:t>
      </w:r>
      <w:r>
        <w:t xml:space="preserve"> is the probability assigned to class </w:t>
      </w:r>
      <w:r>
        <w:rPr>
          <w:rStyle w:val="katex-mathml"/>
        </w:rPr>
        <w:t>ii</w:t>
      </w:r>
      <w:r>
        <w:rPr>
          <w:rStyle w:val="mord"/>
        </w:rPr>
        <w:t>i</w:t>
      </w:r>
      <w:r>
        <w:t xml:space="preserve"> by expert annotators, and </w:t>
      </w:r>
      <w:r w:rsidRPr="0033650C">
        <w:rPr>
          <w:rStyle w:val="katex-mathml"/>
          <w:i/>
          <w:iCs/>
        </w:rPr>
        <w:t>Q(i)</w:t>
      </w:r>
      <w:r>
        <w:t xml:space="preserve"> is the model’s predicted probability for that class. KL divergence penalizes confident but incorrect predictions</w:t>
      </w:r>
      <w:r w:rsidR="00373452">
        <w:t>.</w:t>
      </w:r>
    </w:p>
    <w:p w14:paraId="4F7A2564" w14:textId="590280E5" w:rsidR="0033650C" w:rsidRDefault="0033650C" w:rsidP="0033650C">
      <w:pPr>
        <w:pStyle w:val="H2NoSpace"/>
      </w:pPr>
      <w:r>
        <w:t>B</w:t>
      </w:r>
      <w:r w:rsidRPr="00791AA8">
        <w:t>.</w:t>
      </w:r>
      <w:r w:rsidRPr="007573E5">
        <w:rPr>
          <w:rFonts w:ascii="MS Gothic" w:eastAsia="MS Gothic" w:hAnsi="MS Gothic" w:cs="MS Gothic" w:hint="eastAsia"/>
        </w:rPr>
        <w:t> </w:t>
      </w:r>
      <w:r w:rsidRPr="00034A7F">
        <w:t xml:space="preserve"> </w:t>
      </w:r>
      <w:r w:rsidR="003E1786">
        <w:t>SVM (SUPPORT VECTOR MACHINE)</w:t>
      </w:r>
    </w:p>
    <w:p w14:paraId="7C3E587A" w14:textId="6E7EC63B" w:rsidR="003E1786" w:rsidRPr="003E1786" w:rsidRDefault="00B735AA" w:rsidP="0033650C">
      <w:pPr>
        <w:pStyle w:val="H2NoSpace"/>
        <w:rPr>
          <w:rFonts w:ascii="Times New Roman" w:hAnsi="Times New Roman" w:cs="Times New Roman"/>
          <w:b w:val="0"/>
          <w:bCs/>
          <w:i w:val="0"/>
          <w:iCs/>
          <w:sz w:val="20"/>
          <w:szCs w:val="20"/>
        </w:rPr>
      </w:pPr>
      <w:r w:rsidRPr="00B735AA">
        <w:rPr>
          <w:rFonts w:ascii="Times New Roman" w:hAnsi="Times New Roman" w:cs="Times New Roman"/>
          <w:b w:val="0"/>
          <w:bCs/>
          <w:i w:val="0"/>
          <w:iCs/>
          <w:noProof/>
          <w:sz w:val="20"/>
          <w:szCs w:val="20"/>
        </w:rPr>
        <w:drawing>
          <wp:anchor distT="0" distB="0" distL="114300" distR="114300" simplePos="0" relativeHeight="251660288" behindDoc="0" locked="0" layoutInCell="1" allowOverlap="1" wp14:anchorId="61A905B6" wp14:editId="3FAAFE85">
            <wp:simplePos x="0" y="0"/>
            <wp:positionH relativeFrom="column">
              <wp:posOffset>429277</wp:posOffset>
            </wp:positionH>
            <wp:positionV relativeFrom="paragraph">
              <wp:posOffset>78105</wp:posOffset>
            </wp:positionV>
            <wp:extent cx="1812766" cy="1195070"/>
            <wp:effectExtent l="0" t="0" r="0" b="5080"/>
            <wp:wrapNone/>
            <wp:docPr id="7061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81269" name=""/>
                    <pic:cNvPicPr/>
                  </pic:nvPicPr>
                  <pic:blipFill rotWithShape="1">
                    <a:blip r:embed="rId12" cstate="print">
                      <a:extLst>
                        <a:ext uri="{28A0092B-C50C-407E-A947-70E740481C1C}">
                          <a14:useLocalDpi xmlns:a14="http://schemas.microsoft.com/office/drawing/2010/main" val="0"/>
                        </a:ext>
                      </a:extLst>
                    </a:blip>
                    <a:srcRect l="3195" t="4083"/>
                    <a:stretch/>
                  </pic:blipFill>
                  <pic:spPr bwMode="auto">
                    <a:xfrm>
                      <a:off x="0" y="0"/>
                      <a:ext cx="1812766" cy="1195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ADAE26" w14:textId="29ED212F" w:rsidR="003E1786" w:rsidRPr="00CF1C08" w:rsidRDefault="003E1786" w:rsidP="0033650C">
      <w:pPr>
        <w:pStyle w:val="H2NoSpace"/>
      </w:pPr>
    </w:p>
    <w:p w14:paraId="1C51DC83" w14:textId="77777777" w:rsidR="00BE0B38" w:rsidRDefault="00BE0B38" w:rsidP="008F2FB3">
      <w:pPr>
        <w:pStyle w:val="H2NoSpace"/>
        <w:rPr>
          <w:noProof/>
        </w:rPr>
      </w:pPr>
    </w:p>
    <w:p w14:paraId="25773B97" w14:textId="77777777" w:rsidR="0033650C" w:rsidRDefault="0033650C" w:rsidP="00703000">
      <w:pPr>
        <w:pStyle w:val="FigCaption"/>
        <w:rPr>
          <w:rStyle w:val="CaptionColor"/>
        </w:rPr>
      </w:pPr>
    </w:p>
    <w:p w14:paraId="1704A531" w14:textId="5769043E" w:rsidR="0033650C" w:rsidRDefault="0033650C" w:rsidP="00703000">
      <w:pPr>
        <w:pStyle w:val="FigCaption"/>
        <w:rPr>
          <w:rStyle w:val="CaptionColor"/>
        </w:rPr>
      </w:pPr>
    </w:p>
    <w:p w14:paraId="3F1A8ACD" w14:textId="77777777" w:rsidR="00B735AA" w:rsidRDefault="00B735AA" w:rsidP="00703000">
      <w:pPr>
        <w:pStyle w:val="FigCaption"/>
        <w:rPr>
          <w:rStyle w:val="CaptionColor"/>
        </w:rPr>
      </w:pPr>
    </w:p>
    <w:p w14:paraId="06D14DDB" w14:textId="77777777" w:rsidR="00B735AA" w:rsidRDefault="00B735AA" w:rsidP="00B735AA">
      <w:pPr>
        <w:jc w:val="center"/>
        <w:rPr>
          <w:sz w:val="20"/>
          <w:szCs w:val="20"/>
        </w:rPr>
      </w:pPr>
    </w:p>
    <w:p w14:paraId="157CFC99" w14:textId="5E90D077" w:rsidR="00B735AA" w:rsidRPr="007368A7" w:rsidRDefault="00B735AA" w:rsidP="00B735AA">
      <w:pPr>
        <w:jc w:val="center"/>
        <w:rPr>
          <w:i/>
          <w:iCs/>
          <w:sz w:val="20"/>
          <w:szCs w:val="20"/>
        </w:rPr>
      </w:pPr>
      <w:r w:rsidRPr="007368A7">
        <w:rPr>
          <w:i/>
          <w:iCs/>
          <w:sz w:val="20"/>
          <w:szCs w:val="20"/>
        </w:rPr>
        <w:t>Fig. 3. SVM Model Architecture</w:t>
      </w:r>
    </w:p>
    <w:p w14:paraId="3310ADE6" w14:textId="77777777" w:rsidR="00B735AA" w:rsidRDefault="00B735AA" w:rsidP="00B735AA">
      <w:pPr>
        <w:rPr>
          <w:sz w:val="20"/>
          <w:szCs w:val="20"/>
        </w:rPr>
      </w:pPr>
    </w:p>
    <w:p w14:paraId="7D0BC0BB" w14:textId="58E450B6" w:rsidR="00373452" w:rsidRDefault="00FF7896" w:rsidP="00FF7896">
      <w:pPr>
        <w:jc w:val="both"/>
        <w:rPr>
          <w:sz w:val="20"/>
          <w:szCs w:val="20"/>
          <w:lang w:val="en-IN"/>
        </w:rPr>
      </w:pPr>
      <w:r w:rsidRPr="00FF7896">
        <w:rPr>
          <w:sz w:val="20"/>
          <w:szCs w:val="20"/>
          <w:lang w:val="en-IN"/>
        </w:rPr>
        <w:t>Support Vector Machines (SVMs) were employed as a baseline model for harmful brain activity classification using features extracted from pre-processed EEG recordings. The input to the SVM consisted of 251 handcrafted features per sample, derived from 19 EEG channels. These included per-channel statistical descriptors such as mean, standard deviation, variance, median, min, max, percentiles, entropy, signal energy, and root mean square (RMS), along with global cross-channel descriptors including average correlation and overall signal variance. This feature representation effectively captured both temporal signal characteristics and spatial dependencies across electrode pairs, enabling structured modelling of EEG patterns [3], [4], [10</w:t>
      </w:r>
      <w:r w:rsidR="00373452" w:rsidRPr="00FF7896">
        <w:rPr>
          <w:sz w:val="20"/>
          <w:szCs w:val="20"/>
          <w:lang w:val="en-IN"/>
        </w:rPr>
        <w:t>]. Prior</w:t>
      </w:r>
      <w:r w:rsidRPr="00FF7896">
        <w:rPr>
          <w:sz w:val="20"/>
          <w:szCs w:val="20"/>
          <w:lang w:val="en-IN"/>
        </w:rPr>
        <w:t xml:space="preserve"> to model training, missing values were imputed using the median of each feature, and all features were standardized using z-score normalization.</w:t>
      </w:r>
    </w:p>
    <w:p w14:paraId="79C165D8" w14:textId="396A8EE2" w:rsidR="00FF7896" w:rsidRDefault="00FF7896" w:rsidP="00FF7896">
      <w:pPr>
        <w:jc w:val="both"/>
        <w:rPr>
          <w:sz w:val="20"/>
          <w:szCs w:val="20"/>
          <w:lang w:val="en-IN"/>
        </w:rPr>
      </w:pPr>
      <w:r w:rsidRPr="00FF7896">
        <w:rPr>
          <w:sz w:val="20"/>
          <w:szCs w:val="20"/>
          <w:lang w:val="en-IN"/>
        </w:rPr>
        <w:t xml:space="preserve">The dataset was stratified and split into 80% training and 20% validation sets to ensure class balance. An SVM with a radial basis function (RBF) kernel was trained using </w:t>
      </w:r>
      <w:r w:rsidRPr="00FF7896">
        <w:rPr>
          <w:i/>
          <w:iCs/>
          <w:sz w:val="20"/>
          <w:szCs w:val="20"/>
          <w:lang w:val="en-IN"/>
        </w:rPr>
        <w:t>C</w:t>
      </w:r>
      <w:r w:rsidRPr="00FF7896">
        <w:rPr>
          <w:sz w:val="20"/>
          <w:szCs w:val="20"/>
          <w:lang w:val="en-IN"/>
        </w:rPr>
        <w:t xml:space="preserve"> = 1.0, gamma = scale, and </w:t>
      </w:r>
      <w:r w:rsidR="00373452" w:rsidRPr="00FF7896">
        <w:rPr>
          <w:sz w:val="20"/>
          <w:szCs w:val="20"/>
          <w:lang w:val="en-IN"/>
        </w:rPr>
        <w:t>class weight</w:t>
      </w:r>
      <w:r w:rsidRPr="00FF7896">
        <w:rPr>
          <w:sz w:val="20"/>
          <w:szCs w:val="20"/>
          <w:lang w:val="en-IN"/>
        </w:rPr>
        <w:t xml:space="preserve"> = balanced to address the class imbalance inherent in the dataset. Probabilistic outputs </w:t>
      </w:r>
      <w:r w:rsidRPr="00FF7896">
        <w:rPr>
          <w:sz w:val="20"/>
          <w:szCs w:val="20"/>
          <w:lang w:val="en-IN"/>
        </w:rPr>
        <w:t xml:space="preserve">were enabled via Platt scaling to allow compatibility with soft-label evaluation. Upon training, the SVM model achieved a training accuracy of </w:t>
      </w:r>
      <w:r w:rsidRPr="00BE24C9">
        <w:rPr>
          <w:sz w:val="20"/>
          <w:szCs w:val="20"/>
          <w:lang w:val="en-IN"/>
        </w:rPr>
        <w:t>86.87% and validation accuracy of 84.33%, with corresponding KL divergence scores of 0.4218 and 0.4894</w:t>
      </w:r>
      <w:r w:rsidRPr="00FF7896">
        <w:rPr>
          <w:sz w:val="20"/>
          <w:szCs w:val="20"/>
          <w:lang w:val="en-IN"/>
        </w:rPr>
        <w:t>, respectively. These results indicate that SVMs, despite their simplicity compared to deep neural networks, can effectively model EEG-based patterns when provided with well-engineered input features.</w:t>
      </w:r>
    </w:p>
    <w:p w14:paraId="40B7EE1E" w14:textId="527D3C6D" w:rsidR="009F6340" w:rsidRDefault="009F6340" w:rsidP="009F6340">
      <w:pPr>
        <w:pStyle w:val="H2NoSpace"/>
      </w:pPr>
      <w:r>
        <w:t>C</w:t>
      </w:r>
      <w:r w:rsidRPr="00791AA8">
        <w:t>.</w:t>
      </w:r>
      <w:r w:rsidRPr="007573E5">
        <w:rPr>
          <w:rFonts w:ascii="MS Gothic" w:eastAsia="MS Gothic" w:hAnsi="MS Gothic" w:cs="MS Gothic" w:hint="eastAsia"/>
        </w:rPr>
        <w:t> </w:t>
      </w:r>
      <w:r w:rsidRPr="00034A7F">
        <w:t xml:space="preserve"> </w:t>
      </w:r>
      <w:r>
        <w:t>RANDOM FOREST</w:t>
      </w:r>
    </w:p>
    <w:p w14:paraId="1B1DB27B" w14:textId="41299F5B" w:rsidR="00080A8A" w:rsidRDefault="00080A8A" w:rsidP="00B735AA">
      <w:pPr>
        <w:pStyle w:val="PARAIndent"/>
        <w:ind w:firstLine="0"/>
      </w:pPr>
      <w:r w:rsidRPr="00080A8A">
        <w:rPr>
          <w:noProof/>
        </w:rPr>
        <w:drawing>
          <wp:anchor distT="0" distB="0" distL="114300" distR="114300" simplePos="0" relativeHeight="251661312" behindDoc="0" locked="0" layoutInCell="1" allowOverlap="1" wp14:anchorId="68BE0D7A" wp14:editId="4FDEB565">
            <wp:simplePos x="0" y="0"/>
            <wp:positionH relativeFrom="column">
              <wp:posOffset>63375</wp:posOffset>
            </wp:positionH>
            <wp:positionV relativeFrom="paragraph">
              <wp:posOffset>41596</wp:posOffset>
            </wp:positionV>
            <wp:extent cx="3060700" cy="236855"/>
            <wp:effectExtent l="0" t="0" r="6350" b="0"/>
            <wp:wrapNone/>
            <wp:docPr id="20278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127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236855"/>
                    </a:xfrm>
                    <a:prstGeom prst="rect">
                      <a:avLst/>
                    </a:prstGeom>
                  </pic:spPr>
                </pic:pic>
              </a:graphicData>
            </a:graphic>
            <wp14:sizeRelH relativeFrom="page">
              <wp14:pctWidth>0</wp14:pctWidth>
            </wp14:sizeRelH>
            <wp14:sizeRelV relativeFrom="page">
              <wp14:pctHeight>0</wp14:pctHeight>
            </wp14:sizeRelV>
          </wp:anchor>
        </w:drawing>
      </w:r>
    </w:p>
    <w:p w14:paraId="24D9F551" w14:textId="1D4A2993" w:rsidR="00080A8A" w:rsidRDefault="00080A8A" w:rsidP="00B735AA">
      <w:pPr>
        <w:pStyle w:val="PARAIndent"/>
        <w:ind w:firstLine="0"/>
      </w:pPr>
    </w:p>
    <w:p w14:paraId="7D37CC20" w14:textId="36C6541D" w:rsidR="00080A8A" w:rsidRPr="007368A7" w:rsidRDefault="00080A8A" w:rsidP="00080A8A">
      <w:pPr>
        <w:jc w:val="center"/>
        <w:rPr>
          <w:i/>
          <w:iCs/>
          <w:sz w:val="20"/>
          <w:szCs w:val="20"/>
        </w:rPr>
      </w:pPr>
      <w:r w:rsidRPr="007368A7">
        <w:rPr>
          <w:i/>
          <w:iCs/>
          <w:sz w:val="20"/>
          <w:szCs w:val="20"/>
        </w:rPr>
        <w:t>Fig. 4. Random Forest Model Workflow</w:t>
      </w:r>
    </w:p>
    <w:p w14:paraId="34BDE735" w14:textId="1235DA75" w:rsidR="003150FF" w:rsidRDefault="00081023" w:rsidP="00081023">
      <w:pPr>
        <w:pStyle w:val="H1"/>
        <w:jc w:val="both"/>
      </w:pPr>
      <w:r w:rsidRPr="00081023">
        <w:rPr>
          <w:rFonts w:ascii="Times New Roman" w:hAnsi="Times New Roman" w:cs="TimesLTStd-Roman"/>
          <w:b w:val="0"/>
          <w:bCs w:val="0"/>
          <w:color w:val="auto"/>
          <w:spacing w:val="-2"/>
          <w:sz w:val="20"/>
          <w:szCs w:val="20"/>
        </w:rPr>
        <w:t>Random Forest (RF) was employed as a memory-efficient ensemble learning baseline for harmful brain activity classification. The model operates on a structured feature set extracted from preprocessed EEG recordings, comprising 251 features per sample. These features include per-channel statistical metrics (e.g., mean, variance, entropy, energy, and percentiles) and global cross-channel descriptors such as mean correlation, capturing spatial and temporal information critical for EEG interpretation [4], [10]. EEG data were standardized using z-score normalization, and missing values were handled via mean imputation. The dataset was split using an 80-20 stratified train-validation strategy. Class weights were computed inversely proportional to class frequencies to mitigate label imbalance. The RF model was configured with 100 trees, a maximum depth of 10, minimum samples per split of 5. Parallel training was enabled to accelerate batch processing across large EEG batches. Probabilistic predictions were obtained using the model’s soft output for each of the six classes, and evaluation was performed using both categorical accuracy and Kullback–Leibler divergence on soft labels. The Random Forest achieved a training accuracy of 87.54% and a validation accuracy of 84.41%, with KL divergence scores of 0.9</w:t>
      </w:r>
      <w:r w:rsidR="004908F2">
        <w:rPr>
          <w:rFonts w:ascii="Times New Roman" w:hAnsi="Times New Roman" w:cs="TimesLTStd-Roman"/>
          <w:b w:val="0"/>
          <w:bCs w:val="0"/>
          <w:color w:val="auto"/>
          <w:spacing w:val="-2"/>
          <w:sz w:val="20"/>
          <w:szCs w:val="20"/>
        </w:rPr>
        <w:t>056</w:t>
      </w:r>
      <w:r w:rsidRPr="00081023">
        <w:rPr>
          <w:rFonts w:ascii="Times New Roman" w:hAnsi="Times New Roman" w:cs="TimesLTStd-Roman"/>
          <w:b w:val="0"/>
          <w:bCs w:val="0"/>
          <w:color w:val="auto"/>
          <w:spacing w:val="-2"/>
          <w:sz w:val="20"/>
          <w:szCs w:val="20"/>
        </w:rPr>
        <w:t xml:space="preserve"> and 0.9</w:t>
      </w:r>
      <w:r w:rsidR="004908F2">
        <w:rPr>
          <w:rFonts w:ascii="Times New Roman" w:hAnsi="Times New Roman" w:cs="TimesLTStd-Roman"/>
          <w:b w:val="0"/>
          <w:bCs w:val="0"/>
          <w:color w:val="auto"/>
          <w:spacing w:val="-2"/>
          <w:sz w:val="20"/>
          <w:szCs w:val="20"/>
        </w:rPr>
        <w:t>34</w:t>
      </w:r>
      <w:r w:rsidRPr="00081023">
        <w:rPr>
          <w:rFonts w:ascii="Times New Roman" w:hAnsi="Times New Roman" w:cs="TimesLTStd-Roman"/>
          <w:b w:val="0"/>
          <w:bCs w:val="0"/>
          <w:color w:val="auto"/>
          <w:spacing w:val="-2"/>
          <w:sz w:val="20"/>
          <w:szCs w:val="20"/>
        </w:rPr>
        <w:t>, respectively</w:t>
      </w:r>
      <w:r>
        <w:t xml:space="preserve">. </w:t>
      </w:r>
      <w:r w:rsidRPr="00081023">
        <w:rPr>
          <w:rFonts w:ascii="Times New Roman" w:hAnsi="Times New Roman" w:cs="Times New Roman"/>
          <w:b w:val="0"/>
          <w:bCs w:val="0"/>
          <w:color w:val="auto"/>
          <w:sz w:val="20"/>
          <w:szCs w:val="20"/>
        </w:rPr>
        <w:t>These results suggest that while Random Forests deliver strong classification accuracy and remain efficient in terms of memory and computation, they exhibit limited alignment with expert consensus soft labels, as indicated by their relatively high KL divergence. This underscores their effectiveness for hard-label tasks, but also highlights the need for more calibrated models when probabilistic interpretability is critical.</w:t>
      </w:r>
    </w:p>
    <w:p w14:paraId="74231F03" w14:textId="22988655" w:rsidR="000E6B80" w:rsidRDefault="000E6B80" w:rsidP="000E6B80">
      <w:pPr>
        <w:pStyle w:val="H2NoSpace"/>
      </w:pPr>
      <w:r>
        <w:t>D</w:t>
      </w:r>
      <w:r w:rsidRPr="00791AA8">
        <w:t>.</w:t>
      </w:r>
      <w:r w:rsidRPr="007573E5">
        <w:rPr>
          <w:rFonts w:ascii="MS Gothic" w:eastAsia="MS Gothic" w:hAnsi="MS Gothic" w:cs="MS Gothic" w:hint="eastAsia"/>
        </w:rPr>
        <w:t> </w:t>
      </w:r>
      <w:r w:rsidRPr="00034A7F">
        <w:t xml:space="preserve"> </w:t>
      </w:r>
      <w:r>
        <w:t>XGBOOST</w:t>
      </w:r>
    </w:p>
    <w:p w14:paraId="3B38CF64" w14:textId="50663AFA" w:rsidR="000E6B80" w:rsidRDefault="004908F2" w:rsidP="00BE0B38">
      <w:pPr>
        <w:pStyle w:val="PARA"/>
      </w:pPr>
      <w:r>
        <w:rPr>
          <w:noProof/>
        </w:rPr>
        <w:drawing>
          <wp:anchor distT="0" distB="0" distL="114300" distR="114300" simplePos="0" relativeHeight="251662336" behindDoc="0" locked="0" layoutInCell="1" allowOverlap="1" wp14:anchorId="6A027EB2" wp14:editId="370A6BE2">
            <wp:simplePos x="0" y="0"/>
            <wp:positionH relativeFrom="margin">
              <wp:align>right</wp:align>
            </wp:positionH>
            <wp:positionV relativeFrom="paragraph">
              <wp:posOffset>40286</wp:posOffset>
            </wp:positionV>
            <wp:extent cx="3060700" cy="307340"/>
            <wp:effectExtent l="0" t="0" r="6350" b="0"/>
            <wp:wrapNone/>
            <wp:docPr id="138888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5544" name="Picture 1388885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307340"/>
                    </a:xfrm>
                    <a:prstGeom prst="rect">
                      <a:avLst/>
                    </a:prstGeom>
                  </pic:spPr>
                </pic:pic>
              </a:graphicData>
            </a:graphic>
            <wp14:sizeRelH relativeFrom="page">
              <wp14:pctWidth>0</wp14:pctWidth>
            </wp14:sizeRelH>
            <wp14:sizeRelV relativeFrom="page">
              <wp14:pctHeight>0</wp14:pctHeight>
            </wp14:sizeRelV>
          </wp:anchor>
        </w:drawing>
      </w:r>
    </w:p>
    <w:p w14:paraId="75873DA1" w14:textId="77777777" w:rsidR="000E6B80" w:rsidRDefault="000E6B80" w:rsidP="00BE0B38">
      <w:pPr>
        <w:pStyle w:val="PARA"/>
      </w:pPr>
    </w:p>
    <w:p w14:paraId="1AF54FFC" w14:textId="77777777" w:rsidR="000E6B80" w:rsidRDefault="000E6B80" w:rsidP="00BE0B38">
      <w:pPr>
        <w:pStyle w:val="PARA"/>
      </w:pPr>
    </w:p>
    <w:p w14:paraId="409AA721" w14:textId="0E5B53DB" w:rsidR="004908F2" w:rsidRPr="007368A7" w:rsidRDefault="004908F2" w:rsidP="004908F2">
      <w:pPr>
        <w:jc w:val="center"/>
        <w:rPr>
          <w:i/>
          <w:iCs/>
          <w:sz w:val="20"/>
          <w:szCs w:val="20"/>
        </w:rPr>
      </w:pPr>
      <w:r w:rsidRPr="007368A7">
        <w:rPr>
          <w:i/>
          <w:iCs/>
          <w:sz w:val="20"/>
          <w:szCs w:val="20"/>
        </w:rPr>
        <w:t>Fig. 5. XGBoost Model Workflow</w:t>
      </w:r>
    </w:p>
    <w:p w14:paraId="1194F630" w14:textId="77777777" w:rsidR="004908F2" w:rsidRDefault="004908F2" w:rsidP="00BE0B38">
      <w:pPr>
        <w:pStyle w:val="PARA"/>
      </w:pPr>
    </w:p>
    <w:p w14:paraId="697C214D" w14:textId="4B29C9C8" w:rsidR="004908F2" w:rsidRDefault="004908F2" w:rsidP="008F2FB3">
      <w:pPr>
        <w:pStyle w:val="PARA"/>
        <w:rPr>
          <w:lang w:val="en-IN"/>
        </w:rPr>
      </w:pPr>
      <w:r w:rsidRPr="004908F2">
        <w:rPr>
          <w:lang w:val="en-IN"/>
        </w:rPr>
        <w:t xml:space="preserve">Extreme Gradient Boosting (XGBoost) was employed as a high-performance, tree-based ensemble model to classify harmful brain activity using statistical EEG features. Each input sample was converted into a 251-dimensional feature vector derived from 19 EEG channels, including time-domain descriptors such as mean, standard deviation, variance, percentiles, signal energy, entropy, and cross-channel </w:t>
      </w:r>
      <w:r w:rsidRPr="004908F2">
        <w:rPr>
          <w:lang w:val="en-IN"/>
        </w:rPr>
        <w:lastRenderedPageBreak/>
        <w:t>correlations</w:t>
      </w:r>
      <w:r>
        <w:rPr>
          <w:lang w:val="en-IN"/>
        </w:rPr>
        <w:t>.</w:t>
      </w:r>
      <w:r w:rsidRPr="004908F2">
        <w:rPr>
          <w:lang w:val="en-IN"/>
        </w:rPr>
        <w:t xml:space="preserve"> The dataset was pre-processed using z-score normalization and NaN/Inf handling, followed by an 80–20 stratified train-validation split. Class weights were computed based on label frequency and applied as sample weights to address class imbalance. To ensure efficient memory usage, features were batch-processed and stored in XGBoost’s native DMatrix format. The model was trained using the multi:softprob objective with six output classes corresponding to Seizure, LPD, GPD, LRDA, GRDA, and Other. The training configuration included a tree depth of 6, learning rate of 0.1, 100–300 boosting rounds, and early stopping to prevent overfitting.</w:t>
      </w:r>
      <w:r>
        <w:rPr>
          <w:lang w:val="en-IN"/>
        </w:rPr>
        <w:t xml:space="preserve"> </w:t>
      </w:r>
      <w:r w:rsidRPr="004908F2">
        <w:rPr>
          <w:lang w:val="en-IN"/>
        </w:rPr>
        <w:t>XGBoost demonstrated strong generalization and calibration performance. It achieved a training accuracy of 96.07% and a validation accuracy of 93.14%, with respective KL divergence scores of 0.1807 and 0.2570. These results affirm XGBoost’s ability to model non-linear decision boundaries in structured EEG feature space while maintaining high fidelity to expert consensus labels. Its compatibility with tabular data, interpretability through feature importance, and efficient execution make it a valuable component in ensemble-based EEG classification systems.</w:t>
      </w:r>
    </w:p>
    <w:p w14:paraId="0E61ED7F" w14:textId="570633BB" w:rsidR="003A28BF" w:rsidRDefault="003A28BF" w:rsidP="003A28BF">
      <w:pPr>
        <w:pStyle w:val="H2"/>
      </w:pPr>
      <w:r>
        <w:t>E</w:t>
      </w:r>
      <w:r w:rsidRPr="00791AA8">
        <w:t>.</w:t>
      </w:r>
      <w:r w:rsidRPr="007573E5">
        <w:rPr>
          <w:rFonts w:ascii="MS Gothic" w:eastAsia="MS Gothic" w:hAnsi="MS Gothic" w:cs="MS Gothic" w:hint="eastAsia"/>
        </w:rPr>
        <w:t> </w:t>
      </w:r>
      <w:r>
        <w:t>LSTM (LONG SHORT TERM MEMORY)</w:t>
      </w:r>
    </w:p>
    <w:p w14:paraId="7CE58218" w14:textId="792E01FE" w:rsidR="003A28BF" w:rsidRDefault="009F7E8F" w:rsidP="008F2FB3">
      <w:pPr>
        <w:pStyle w:val="PARA"/>
      </w:pPr>
      <w:r w:rsidRPr="009F7E8F">
        <w:rPr>
          <w:noProof/>
        </w:rPr>
        <w:drawing>
          <wp:anchor distT="0" distB="0" distL="114300" distR="114300" simplePos="0" relativeHeight="251663360" behindDoc="0" locked="0" layoutInCell="1" allowOverlap="1" wp14:anchorId="341A375C" wp14:editId="21567003">
            <wp:simplePos x="0" y="0"/>
            <wp:positionH relativeFrom="column">
              <wp:posOffset>755727</wp:posOffset>
            </wp:positionH>
            <wp:positionV relativeFrom="paragraph">
              <wp:posOffset>32385</wp:posOffset>
            </wp:positionV>
            <wp:extent cx="1549602" cy="1497067"/>
            <wp:effectExtent l="0" t="0" r="0" b="8255"/>
            <wp:wrapNone/>
            <wp:docPr id="143673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5028" name=""/>
                    <pic:cNvPicPr/>
                  </pic:nvPicPr>
                  <pic:blipFill rotWithShape="1">
                    <a:blip r:embed="rId15" cstate="print">
                      <a:extLst>
                        <a:ext uri="{28A0092B-C50C-407E-A947-70E740481C1C}">
                          <a14:useLocalDpi xmlns:a14="http://schemas.microsoft.com/office/drawing/2010/main" val="0"/>
                        </a:ext>
                      </a:extLst>
                    </a:blip>
                    <a:srcRect l="8807"/>
                    <a:stretch/>
                  </pic:blipFill>
                  <pic:spPr bwMode="auto">
                    <a:xfrm>
                      <a:off x="0" y="0"/>
                      <a:ext cx="1549602" cy="14970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F1F08E" w14:textId="6BC9173F" w:rsidR="003A28BF" w:rsidRDefault="003A28BF" w:rsidP="008F2FB3">
      <w:pPr>
        <w:pStyle w:val="PARA"/>
      </w:pPr>
    </w:p>
    <w:p w14:paraId="2FCDA5EA" w14:textId="27F3DA4C" w:rsidR="003A28BF" w:rsidRDefault="003A28BF" w:rsidP="008F2FB3">
      <w:pPr>
        <w:pStyle w:val="PARA"/>
      </w:pPr>
    </w:p>
    <w:p w14:paraId="0EF7C13D" w14:textId="77777777" w:rsidR="003A28BF" w:rsidRDefault="003A28BF" w:rsidP="008F2FB3">
      <w:pPr>
        <w:pStyle w:val="PARA"/>
      </w:pPr>
    </w:p>
    <w:p w14:paraId="5A61255C" w14:textId="77777777" w:rsidR="009F7E8F" w:rsidRDefault="009F7E8F" w:rsidP="008F2FB3">
      <w:pPr>
        <w:pStyle w:val="PARA"/>
      </w:pPr>
    </w:p>
    <w:p w14:paraId="33A0E816" w14:textId="5671D74C" w:rsidR="009F7E8F" w:rsidRDefault="009F7E8F" w:rsidP="008F2FB3">
      <w:pPr>
        <w:pStyle w:val="PARA"/>
      </w:pPr>
    </w:p>
    <w:p w14:paraId="42CFEE6C" w14:textId="199D0583" w:rsidR="009F7E8F" w:rsidRDefault="009F7E8F" w:rsidP="008F2FB3">
      <w:pPr>
        <w:pStyle w:val="PARA"/>
      </w:pPr>
    </w:p>
    <w:p w14:paraId="4BE744B9" w14:textId="77777777" w:rsidR="009F7E8F" w:rsidRDefault="009F7E8F" w:rsidP="008F2FB3">
      <w:pPr>
        <w:pStyle w:val="PARA"/>
      </w:pPr>
    </w:p>
    <w:p w14:paraId="11A57AAE" w14:textId="77777777" w:rsidR="009F7E8F" w:rsidRDefault="009F7E8F" w:rsidP="008F2FB3">
      <w:pPr>
        <w:pStyle w:val="PARA"/>
      </w:pPr>
    </w:p>
    <w:p w14:paraId="45FEDC58" w14:textId="77777777" w:rsidR="009F7E8F" w:rsidRDefault="009F7E8F" w:rsidP="008F2FB3">
      <w:pPr>
        <w:pStyle w:val="PARA"/>
      </w:pPr>
    </w:p>
    <w:p w14:paraId="7BC9C5C6" w14:textId="2D2ADF91" w:rsidR="009F7E8F" w:rsidRPr="007368A7" w:rsidRDefault="009F7E8F" w:rsidP="009F7E8F">
      <w:pPr>
        <w:jc w:val="center"/>
        <w:rPr>
          <w:i/>
          <w:iCs/>
          <w:sz w:val="20"/>
          <w:szCs w:val="20"/>
        </w:rPr>
      </w:pPr>
      <w:r w:rsidRPr="007368A7">
        <w:rPr>
          <w:i/>
          <w:iCs/>
          <w:sz w:val="20"/>
          <w:szCs w:val="20"/>
        </w:rPr>
        <w:t>Fig. 6. LSTM Model Architecture</w:t>
      </w:r>
    </w:p>
    <w:p w14:paraId="7C583DB9" w14:textId="7B7D7EB9" w:rsidR="009F7E8F" w:rsidRDefault="009F7E8F" w:rsidP="008F2FB3">
      <w:pPr>
        <w:pStyle w:val="PARA"/>
      </w:pPr>
    </w:p>
    <w:p w14:paraId="338320DE" w14:textId="7B0F3540" w:rsidR="000D0240" w:rsidRDefault="000D0240" w:rsidP="008F2FB3">
      <w:pPr>
        <w:pStyle w:val="PARA"/>
        <w:rPr>
          <w:lang w:val="en-IN"/>
        </w:rPr>
      </w:pPr>
      <w:r w:rsidRPr="000D0240">
        <w:rPr>
          <w:lang w:val="en-IN"/>
        </w:rPr>
        <w:t xml:space="preserve">Long Short-Term Memory (LSTM) networks were employed to model temporal dependencies within EEG signals for classifying harmful brain activity. Each EEG sample consisted of 19 spatial channels and 2500 temporal samples, reshaped into sequences of shape (2500, 19) to match the expected input format of the LSTM. The architecture comprised two stacked LSTM layers with 64 hidden units each, followed by a fully connected output layer to generate class probabilities. Preprocessing included handling of NaN/Inf values and z-score normalization applied independently to each EEG channel. The dataset was partitioned using an 80–20 stratified train-validation split to preserve class distribution across training and evaluation phases. The model was trained using the Adam optimizer and categorical cross-entropy loss for 12 epochs, with a batch size of 32. Early stopping was implemented based on the minimum validation loss to avoid overfitting. The output layer learned to map temporal EEG representations to one of six clinically annotated brain activity categories based on expert consensus. Training achieved an accuracy of 79.68% and validation accuracy reached 80.29%, </w:t>
      </w:r>
      <w:r w:rsidRPr="000D0240">
        <w:rPr>
          <w:lang w:val="en-IN"/>
        </w:rPr>
        <w:t>with KL divergence scores of 0.5916 and 0.5923, respectively. These results demonstrate the LSTM’s ability to learn sequential patterns within EEG time series and generalize across patient variability. However, the moderate divergence between predicted and expert soft labels highlights the potential for further improvement through hybrid or attention-enhanced architectures.</w:t>
      </w:r>
    </w:p>
    <w:p w14:paraId="361F6F6A" w14:textId="27B3AC05" w:rsidR="006B03BF" w:rsidRDefault="006B03BF" w:rsidP="006B03BF">
      <w:pPr>
        <w:pStyle w:val="H2"/>
      </w:pPr>
      <w:r>
        <w:t>F</w:t>
      </w:r>
      <w:r w:rsidRPr="00791AA8">
        <w:t>.</w:t>
      </w:r>
      <w:r w:rsidRPr="007573E5">
        <w:rPr>
          <w:rFonts w:ascii="MS Gothic" w:eastAsia="MS Gothic" w:hAnsi="MS Gothic" w:cs="MS Gothic" w:hint="eastAsia"/>
        </w:rPr>
        <w:t> </w:t>
      </w:r>
      <w:r>
        <w:t xml:space="preserve">ConvLSTM </w:t>
      </w:r>
    </w:p>
    <w:p w14:paraId="61BF80E6" w14:textId="1AC3C417" w:rsidR="006B03BF" w:rsidRDefault="006B03BF" w:rsidP="008F2FB3">
      <w:pPr>
        <w:pStyle w:val="PARA"/>
      </w:pPr>
      <w:r w:rsidRPr="006B03BF">
        <w:rPr>
          <w:noProof/>
        </w:rPr>
        <w:drawing>
          <wp:anchor distT="0" distB="0" distL="114300" distR="114300" simplePos="0" relativeHeight="251664384" behindDoc="0" locked="0" layoutInCell="1" allowOverlap="1" wp14:anchorId="2C74897D" wp14:editId="11D2EB70">
            <wp:simplePos x="0" y="0"/>
            <wp:positionH relativeFrom="margin">
              <wp:posOffset>3962400</wp:posOffset>
            </wp:positionH>
            <wp:positionV relativeFrom="paragraph">
              <wp:posOffset>33654</wp:posOffset>
            </wp:positionV>
            <wp:extent cx="1682750" cy="1474675"/>
            <wp:effectExtent l="0" t="0" r="0" b="0"/>
            <wp:wrapNone/>
            <wp:docPr id="21094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33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3517" cy="1475347"/>
                    </a:xfrm>
                    <a:prstGeom prst="rect">
                      <a:avLst/>
                    </a:prstGeom>
                  </pic:spPr>
                </pic:pic>
              </a:graphicData>
            </a:graphic>
            <wp14:sizeRelH relativeFrom="page">
              <wp14:pctWidth>0</wp14:pctWidth>
            </wp14:sizeRelH>
            <wp14:sizeRelV relativeFrom="page">
              <wp14:pctHeight>0</wp14:pctHeight>
            </wp14:sizeRelV>
          </wp:anchor>
        </w:drawing>
      </w:r>
    </w:p>
    <w:p w14:paraId="5CFBB6C8" w14:textId="77777777" w:rsidR="006B03BF" w:rsidRDefault="006B03BF" w:rsidP="008F2FB3">
      <w:pPr>
        <w:pStyle w:val="PARA"/>
      </w:pPr>
    </w:p>
    <w:p w14:paraId="795241D8" w14:textId="77777777" w:rsidR="006B03BF" w:rsidRDefault="006B03BF" w:rsidP="008F2FB3">
      <w:pPr>
        <w:pStyle w:val="PARA"/>
      </w:pPr>
    </w:p>
    <w:p w14:paraId="2FF9F4E3" w14:textId="77777777" w:rsidR="006B03BF" w:rsidRDefault="006B03BF" w:rsidP="008F2FB3">
      <w:pPr>
        <w:pStyle w:val="PARA"/>
      </w:pPr>
    </w:p>
    <w:p w14:paraId="2E587474" w14:textId="77777777" w:rsidR="006B03BF" w:rsidRDefault="006B03BF" w:rsidP="008F2FB3">
      <w:pPr>
        <w:pStyle w:val="PARA"/>
      </w:pPr>
    </w:p>
    <w:p w14:paraId="2AF380CD" w14:textId="77777777" w:rsidR="006B03BF" w:rsidRDefault="006B03BF" w:rsidP="008F2FB3">
      <w:pPr>
        <w:pStyle w:val="PARA"/>
      </w:pPr>
    </w:p>
    <w:p w14:paraId="702E79E5" w14:textId="77777777" w:rsidR="006B03BF" w:rsidRDefault="006B03BF" w:rsidP="008F2FB3">
      <w:pPr>
        <w:pStyle w:val="PARA"/>
      </w:pPr>
    </w:p>
    <w:p w14:paraId="2BE24557" w14:textId="77777777" w:rsidR="006B03BF" w:rsidRDefault="006B03BF" w:rsidP="008F2FB3">
      <w:pPr>
        <w:pStyle w:val="PARA"/>
      </w:pPr>
    </w:p>
    <w:p w14:paraId="44B44EE9" w14:textId="77777777" w:rsidR="006B03BF" w:rsidRDefault="006B03BF" w:rsidP="008F2FB3">
      <w:pPr>
        <w:pStyle w:val="PARA"/>
      </w:pPr>
    </w:p>
    <w:p w14:paraId="2AC68235" w14:textId="77777777" w:rsidR="006B03BF" w:rsidRDefault="006B03BF" w:rsidP="006B03BF">
      <w:pPr>
        <w:jc w:val="center"/>
        <w:rPr>
          <w:sz w:val="20"/>
          <w:szCs w:val="20"/>
        </w:rPr>
      </w:pPr>
    </w:p>
    <w:p w14:paraId="18C62385" w14:textId="176E989C" w:rsidR="006B03BF" w:rsidRPr="007368A7" w:rsidRDefault="006B03BF" w:rsidP="006B03BF">
      <w:pPr>
        <w:jc w:val="center"/>
        <w:rPr>
          <w:i/>
          <w:iCs/>
          <w:sz w:val="20"/>
          <w:szCs w:val="20"/>
        </w:rPr>
      </w:pPr>
      <w:r w:rsidRPr="007368A7">
        <w:rPr>
          <w:i/>
          <w:iCs/>
          <w:sz w:val="20"/>
          <w:szCs w:val="20"/>
        </w:rPr>
        <w:t>Fig. 7. ConvLSTM Model Architecture</w:t>
      </w:r>
    </w:p>
    <w:p w14:paraId="524049A9" w14:textId="77777777" w:rsidR="006B03BF" w:rsidRDefault="006B03BF" w:rsidP="008F2FB3">
      <w:pPr>
        <w:pStyle w:val="PARA"/>
      </w:pPr>
    </w:p>
    <w:p w14:paraId="7B27246F" w14:textId="1C17F1EF" w:rsidR="00BF5DD3" w:rsidRPr="00BF5DD3" w:rsidRDefault="00BF5DD3" w:rsidP="00BF5DD3">
      <w:pPr>
        <w:pStyle w:val="PARA"/>
        <w:rPr>
          <w:lang w:val="en-IN"/>
        </w:rPr>
      </w:pPr>
      <w:r>
        <w:rPr>
          <w:lang w:val="en-IN"/>
        </w:rPr>
        <w:t>A</w:t>
      </w:r>
      <w:r w:rsidRPr="00BF5DD3">
        <w:rPr>
          <w:lang w:val="en-IN"/>
        </w:rPr>
        <w:t xml:space="preserve"> hybrid Convolutional Long Short-Term Memory (CNN-LSTM) model</w:t>
      </w:r>
      <w:r>
        <w:rPr>
          <w:lang w:val="en-IN"/>
        </w:rPr>
        <w:t xml:space="preserve"> was employed </w:t>
      </w:r>
      <w:r w:rsidRPr="000D0240">
        <w:rPr>
          <w:lang w:val="en-IN"/>
        </w:rPr>
        <w:t>within EEG signals for classifying harmful brain activity</w:t>
      </w:r>
      <w:r w:rsidRPr="00BF5DD3">
        <w:rPr>
          <w:lang w:val="en-IN"/>
        </w:rPr>
        <w:t>. Each EEG recording was pre-processed into a matrix of shape (19 channels × 2500 time points), followed by NaN/Inf imputation and per-channel z-score normalization. These sequences were transposed to (2500, 19) to match the expected input of temporal models. The CNN-LSTM architecture consisted of a 1D convolutional layer with 32 filters, which captured short-range spatial dependencies across channels at each time step. This convolutional feature map was then passed to a stacked LSTM block comprising three recurrent layers, each with 128 hidden units, to model long-range temporal dependencies across the 2500-sample window. The output of the LSTM was passed through a dropout layer</w:t>
      </w:r>
      <w:r>
        <w:rPr>
          <w:lang w:val="en-IN"/>
        </w:rPr>
        <w:t xml:space="preserve"> </w:t>
      </w:r>
      <w:r w:rsidRPr="00BF5DD3">
        <w:rPr>
          <w:lang w:val="en-IN"/>
        </w:rPr>
        <w:t xml:space="preserve">and a fully connected layer for classification over six </w:t>
      </w:r>
      <w:r w:rsidR="00224AB4" w:rsidRPr="00BF5DD3">
        <w:rPr>
          <w:lang w:val="en-IN"/>
        </w:rPr>
        <w:t>classes. Label</w:t>
      </w:r>
      <w:r w:rsidRPr="00BF5DD3">
        <w:rPr>
          <w:lang w:val="en-IN"/>
        </w:rPr>
        <w:t xml:space="preserve"> smoothing was introduced during training to improve generalization and calibrate probabilistic outputs, and temperature scaling was applied during inference to refine SoftMax distribution sharpness. The model was trained using the Adam optimizer with L2 regularization, a learning rate of 0.001, and early stopping based on minimum validation KL divergence. A ReduceLROnPlateau scheduler dynamically adjusted the learning rate during training based on validation performance. </w:t>
      </w:r>
    </w:p>
    <w:p w14:paraId="27ADB9FA" w14:textId="66B46CBD" w:rsidR="00BF5DD3" w:rsidRPr="00BF5DD3" w:rsidRDefault="00BF5DD3" w:rsidP="00BF5DD3">
      <w:pPr>
        <w:pStyle w:val="PARA"/>
        <w:rPr>
          <w:lang w:val="en-IN"/>
        </w:rPr>
      </w:pPr>
      <w:r w:rsidRPr="00BF5DD3">
        <w:rPr>
          <w:lang w:val="en-IN"/>
        </w:rPr>
        <w:t>The CNN-LSTM model achieved a training accuracy of 90.63% and validation accuracy of 88.24%, with corresponding KL divergence values of 0.3647 and 0.4337, respectively. These results demonstrate the CNN-LSTM’s strength in capturing both localized spatial patterns and global temporal dependencies in EEG signals. As illustrated in Fig. 7, the model architecture and training workflow optimize the trade-off between representational capacity and calibration, making this hybrid architecture well-suited for real-world deployment in clinical EEG classification systems.</w:t>
      </w:r>
    </w:p>
    <w:p w14:paraId="35BBF85C" w14:textId="5AFD3DB7" w:rsidR="00F20526" w:rsidRDefault="00F0029F" w:rsidP="00F20526">
      <w:pPr>
        <w:pStyle w:val="H2"/>
      </w:pPr>
      <w:r>
        <w:lastRenderedPageBreak/>
        <w:t>G</w:t>
      </w:r>
      <w:r w:rsidR="00F20526" w:rsidRPr="00791AA8">
        <w:t>.</w:t>
      </w:r>
      <w:r w:rsidR="00F20526" w:rsidRPr="007573E5">
        <w:rPr>
          <w:rFonts w:ascii="MS Gothic" w:eastAsia="MS Gothic" w:hAnsi="MS Gothic" w:cs="MS Gothic" w:hint="eastAsia"/>
        </w:rPr>
        <w:t> </w:t>
      </w:r>
      <w:r w:rsidR="00F20526">
        <w:t>CNN</w:t>
      </w:r>
      <w:r w:rsidR="00E672FC">
        <w:t xml:space="preserve"> (EfficientNet)</w:t>
      </w:r>
    </w:p>
    <w:p w14:paraId="2D98835F" w14:textId="19598B9E" w:rsidR="00224AB4" w:rsidRDefault="00224AB4" w:rsidP="008F2FB3">
      <w:pPr>
        <w:pStyle w:val="PARA"/>
      </w:pPr>
      <w:r w:rsidRPr="00224AB4">
        <w:rPr>
          <w:noProof/>
        </w:rPr>
        <w:drawing>
          <wp:anchor distT="0" distB="0" distL="114300" distR="114300" simplePos="0" relativeHeight="251665408" behindDoc="0" locked="0" layoutInCell="1" allowOverlap="1" wp14:anchorId="3D105F33" wp14:editId="5CA0A8DD">
            <wp:simplePos x="0" y="0"/>
            <wp:positionH relativeFrom="column">
              <wp:posOffset>901700</wp:posOffset>
            </wp:positionH>
            <wp:positionV relativeFrom="paragraph">
              <wp:posOffset>59690</wp:posOffset>
            </wp:positionV>
            <wp:extent cx="963930" cy="1484692"/>
            <wp:effectExtent l="0" t="0" r="7620" b="1270"/>
            <wp:wrapNone/>
            <wp:docPr id="186202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24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3930" cy="1484692"/>
                    </a:xfrm>
                    <a:prstGeom prst="rect">
                      <a:avLst/>
                    </a:prstGeom>
                  </pic:spPr>
                </pic:pic>
              </a:graphicData>
            </a:graphic>
            <wp14:sizeRelH relativeFrom="page">
              <wp14:pctWidth>0</wp14:pctWidth>
            </wp14:sizeRelH>
            <wp14:sizeRelV relativeFrom="page">
              <wp14:pctHeight>0</wp14:pctHeight>
            </wp14:sizeRelV>
          </wp:anchor>
        </w:drawing>
      </w:r>
    </w:p>
    <w:p w14:paraId="178F16B4" w14:textId="55CC4AAC" w:rsidR="00224AB4" w:rsidRDefault="00224AB4" w:rsidP="008F2FB3">
      <w:pPr>
        <w:pStyle w:val="PARA"/>
      </w:pPr>
    </w:p>
    <w:p w14:paraId="6A764425" w14:textId="77777777" w:rsidR="00224AB4" w:rsidRDefault="00224AB4" w:rsidP="008F2FB3">
      <w:pPr>
        <w:pStyle w:val="PARA"/>
      </w:pPr>
    </w:p>
    <w:p w14:paraId="6503E9D7" w14:textId="77777777" w:rsidR="00224AB4" w:rsidRDefault="00224AB4" w:rsidP="008F2FB3">
      <w:pPr>
        <w:pStyle w:val="PARA"/>
      </w:pPr>
    </w:p>
    <w:p w14:paraId="39A81FFC" w14:textId="77777777" w:rsidR="00224AB4" w:rsidRDefault="00224AB4" w:rsidP="008F2FB3">
      <w:pPr>
        <w:pStyle w:val="PARA"/>
      </w:pPr>
    </w:p>
    <w:p w14:paraId="056ADF3C" w14:textId="77777777" w:rsidR="00224AB4" w:rsidRDefault="00224AB4" w:rsidP="008F2FB3">
      <w:pPr>
        <w:pStyle w:val="PARA"/>
      </w:pPr>
    </w:p>
    <w:p w14:paraId="32D369B5" w14:textId="77777777" w:rsidR="00224AB4" w:rsidRDefault="00224AB4" w:rsidP="008F2FB3">
      <w:pPr>
        <w:pStyle w:val="PARA"/>
      </w:pPr>
    </w:p>
    <w:p w14:paraId="626B257E" w14:textId="77777777" w:rsidR="00224AB4" w:rsidRDefault="00224AB4" w:rsidP="008F2FB3">
      <w:pPr>
        <w:pStyle w:val="PARA"/>
      </w:pPr>
    </w:p>
    <w:p w14:paraId="26A7B72B" w14:textId="77777777" w:rsidR="00224AB4" w:rsidRDefault="00224AB4" w:rsidP="008F2FB3">
      <w:pPr>
        <w:pStyle w:val="PARA"/>
      </w:pPr>
    </w:p>
    <w:p w14:paraId="7D77CED0" w14:textId="77777777" w:rsidR="00224AB4" w:rsidRDefault="00224AB4" w:rsidP="008F2FB3">
      <w:pPr>
        <w:pStyle w:val="PARA"/>
      </w:pPr>
    </w:p>
    <w:p w14:paraId="2D299722" w14:textId="77777777" w:rsidR="00224AB4" w:rsidRDefault="00224AB4" w:rsidP="008F2FB3">
      <w:pPr>
        <w:pStyle w:val="PARA"/>
      </w:pPr>
    </w:p>
    <w:p w14:paraId="533B83C0" w14:textId="7DFE56F9" w:rsidR="00224AB4" w:rsidRPr="007368A7" w:rsidRDefault="00224AB4" w:rsidP="00224AB4">
      <w:pPr>
        <w:jc w:val="center"/>
        <w:rPr>
          <w:i/>
          <w:iCs/>
          <w:sz w:val="20"/>
          <w:szCs w:val="20"/>
        </w:rPr>
      </w:pPr>
      <w:r w:rsidRPr="007368A7">
        <w:rPr>
          <w:i/>
          <w:iCs/>
          <w:sz w:val="20"/>
          <w:szCs w:val="20"/>
        </w:rPr>
        <w:t>Fig. 8. EfficientNet Model Workflow</w:t>
      </w:r>
    </w:p>
    <w:p w14:paraId="4D915CC4" w14:textId="77777777" w:rsidR="00224AB4" w:rsidRDefault="00224AB4" w:rsidP="008F2FB3">
      <w:pPr>
        <w:pStyle w:val="PARA"/>
      </w:pPr>
    </w:p>
    <w:p w14:paraId="7CBF64C0" w14:textId="1FAB9958" w:rsidR="000E403A" w:rsidRPr="000E403A" w:rsidRDefault="000E403A" w:rsidP="000E403A">
      <w:pPr>
        <w:pStyle w:val="PARA"/>
        <w:rPr>
          <w:lang w:val="en-IN"/>
        </w:rPr>
      </w:pPr>
      <w:r w:rsidRPr="000E403A">
        <w:rPr>
          <w:lang w:val="en-IN"/>
        </w:rPr>
        <w:t>The CNN-EfficientNet model was specifically designed for classifying harmful brain activity by leveraging spectrograms derived from EEG signals. The model utilized EfficientNetB2, a cutting-edge convolutional backbone pre-trained on ImageNet, which efficiently captures the spatial features of the spectrograms. After preprocessing, the input spectrograms were resized to match the required dimensions for EfficientNetB2. Following feature extraction by the EfficientNet backbone, a global average pooling layer was applied to compress the extracted features. These features were subsequently passed through a dense SoftMax layer to perform multi-class classification over six target classes.</w:t>
      </w:r>
    </w:p>
    <w:p w14:paraId="5589256A" w14:textId="77777777" w:rsidR="000E403A" w:rsidRPr="000E403A" w:rsidRDefault="000E403A" w:rsidP="000E403A">
      <w:pPr>
        <w:pStyle w:val="PARA"/>
        <w:rPr>
          <w:lang w:val="en-IN"/>
        </w:rPr>
      </w:pPr>
      <w:r w:rsidRPr="000E403A">
        <w:rPr>
          <w:lang w:val="en-IN"/>
        </w:rPr>
        <w:t>The model used KL Divergence as the loss function and was trained with the Adam optimizer at a learning rate of 0.001. To enhance training efficiency, the model was trained with mixed precision and deployed across multiple GPUs using TensorFlow’s MirroredStrategy, facilitating faster and more scalable training. Early stopping was implemented based on validation KL divergence, and a step decay learning rate schedule was applied to dynamically adjust the learning rate according to the model's performance.</w:t>
      </w:r>
    </w:p>
    <w:p w14:paraId="096D4387" w14:textId="77777777" w:rsidR="000E403A" w:rsidRPr="000E403A" w:rsidRDefault="000E403A" w:rsidP="000E403A">
      <w:pPr>
        <w:pStyle w:val="PARA"/>
        <w:rPr>
          <w:lang w:val="en-IN"/>
        </w:rPr>
      </w:pPr>
      <w:r w:rsidRPr="000E403A">
        <w:rPr>
          <w:lang w:val="en-IN"/>
        </w:rPr>
        <w:t>The CNN-EfficientNet model achieved a validation accuracy of 77.51% and a validation KL divergence of 0.4352. These results reflect the model’s ability to produce well-calibrated probabilistic outputs. The architecture effectively balances the need for high representational capacity with improved calibration, making it a promising candidate for real-world deployment in clinical EEG classification systems.</w:t>
      </w:r>
    </w:p>
    <w:p w14:paraId="73B869D1" w14:textId="4C68F005" w:rsidR="00B0628E" w:rsidRPr="00E91452" w:rsidRDefault="00B0628E" w:rsidP="00B0628E">
      <w:pPr>
        <w:pStyle w:val="H1"/>
      </w:pPr>
      <w:r>
        <w:t>VI</w:t>
      </w:r>
      <w:r w:rsidRPr="005C3955">
        <w:t>.</w:t>
      </w:r>
      <w:r>
        <w:rPr>
          <w:rFonts w:ascii="MS Gothic" w:eastAsia="MS Gothic" w:hAnsi="MS Gothic" w:cs="MS Gothic"/>
        </w:rPr>
        <w:t> </w:t>
      </w:r>
      <w:r>
        <w:t>RESULTS AND DISCUSSION</w:t>
      </w:r>
    </w:p>
    <w:p w14:paraId="4741C5CA" w14:textId="1C3FC90A" w:rsidR="00F0029F" w:rsidRPr="00F0029F" w:rsidRDefault="00F0029F" w:rsidP="00F0029F">
      <w:pPr>
        <w:pStyle w:val="PARA"/>
        <w:rPr>
          <w:lang w:val="en-IN"/>
        </w:rPr>
      </w:pPr>
      <w:r w:rsidRPr="00F0029F">
        <w:rPr>
          <w:lang w:val="en-IN"/>
        </w:rPr>
        <w:t>To evaluate the performance of our proposed models, we conducted a comparative analysis using the HMS Harmful Brain Activity Classification dataset [1], [9], [10]. Table I summarizes the training and validation accuracy along with the Kullback–Leibler (KL) divergence for each of the six implemented models. These include classical machine learning classifiers such as Support Vector Machines (SVM) and Random Forests, as well as advanced deep learning architectures like LSTM, ConvLSTM, and CNN-based EfficientNet models.</w:t>
      </w:r>
      <w:r w:rsidR="00965E71">
        <w:rPr>
          <w:lang w:val="en-IN"/>
        </w:rPr>
        <w:t xml:space="preserve"> </w:t>
      </w:r>
      <w:r w:rsidRPr="00F0029F">
        <w:rPr>
          <w:lang w:val="en-IN"/>
        </w:rPr>
        <w:t xml:space="preserve">Among all models, XGBoost achieved the highest validation accuracy of 93.14% with a low KL </w:t>
      </w:r>
      <w:r w:rsidRPr="00F0029F">
        <w:rPr>
          <w:lang w:val="en-IN"/>
        </w:rPr>
        <w:t>divergence of 0.2570, demonstrating superior generalization and well-calibrated probabilistic outputs. Its robust performance, bolstered by a 96.07% training accuracy and minimal overfitting, confirms XGBoost’s aptitude for tabular EEG feature modelling—a finding supported by prior literature emphasizing its resilience to label imbalance and noise [6], [12]. The ConvLSTM model also showed strong results, achieving a validation accuracy of 88.24% and a KL divergence of 0.4337. Its hybrid architecture was effective in capturing both spatial and temporal dynamics within the EEG signal, making it suitable for real-time neurodiagnostic applications [16].</w:t>
      </w:r>
    </w:p>
    <w:p w14:paraId="414DB086" w14:textId="77777777" w:rsidR="00F0029F" w:rsidRPr="00F0029F" w:rsidRDefault="00F0029F" w:rsidP="00F0029F">
      <w:pPr>
        <w:pStyle w:val="PARA"/>
        <w:rPr>
          <w:lang w:val="en-IN"/>
        </w:rPr>
      </w:pPr>
      <w:r w:rsidRPr="00F0029F">
        <w:rPr>
          <w:lang w:val="en-IN"/>
        </w:rPr>
        <w:t>In contrast, while the standard LSTM achieved a reasonable validation accuracy of 80.29%, it exhibited higher KL divergence (0.5923), indicating suboptimal alignment with expert soft labels. This gap suggests potential improvements through attention mechanisms or calibration layers. The EfficientNetB2-based CNN model, despite its strength in image-based classification, underperformed on this EEG task with 77.51% validation accuracy and a KL divergence of 0.4352, likely due to the reduced temporal information in static spectrograms.</w:t>
      </w:r>
    </w:p>
    <w:p w14:paraId="0C8CBD6E" w14:textId="77777777" w:rsidR="007368A7" w:rsidRDefault="00F0029F" w:rsidP="007368A7">
      <w:pPr>
        <w:pStyle w:val="PARA"/>
        <w:rPr>
          <w:lang w:val="en-IN"/>
        </w:rPr>
      </w:pPr>
      <w:r w:rsidRPr="00F0029F">
        <w:rPr>
          <w:lang w:val="en-IN"/>
        </w:rPr>
        <w:t>Baseline models like Random Forest and SVM achieved validation accuracies of 84.41% and 84.33%, respectively, demonstrating their utility in low-resource settings. However, both yielded relatively high KL divergence (0.9340 and 0.4894), revealing limitations in probabilistic calibration. This divergence highlights a key consideration in clinical applications—accurate uncertainty modelling is as critical as classification performance [3], [4], [10].</w:t>
      </w:r>
    </w:p>
    <w:p w14:paraId="6C5D9BE5" w14:textId="77777777" w:rsidR="007368A7" w:rsidRDefault="007368A7" w:rsidP="007368A7">
      <w:pPr>
        <w:pStyle w:val="PARA"/>
        <w:jc w:val="center"/>
        <w:rPr>
          <w:rFonts w:cs="Times New Roman"/>
          <w:i/>
          <w:iCs/>
        </w:rPr>
      </w:pPr>
    </w:p>
    <w:p w14:paraId="5B1A64D2" w14:textId="3B9A636B" w:rsidR="00F0029F" w:rsidRPr="00F0029F" w:rsidRDefault="007368A7" w:rsidP="007368A7">
      <w:pPr>
        <w:pStyle w:val="PARA"/>
        <w:jc w:val="center"/>
        <w:rPr>
          <w:i/>
          <w:iCs/>
          <w:lang w:val="en-IN"/>
        </w:rPr>
      </w:pPr>
      <w:r w:rsidRPr="007368A7">
        <w:rPr>
          <w:rFonts w:cs="Times New Roman"/>
          <w:i/>
          <w:iCs/>
        </w:rPr>
        <w:t>Table</w:t>
      </w:r>
      <w:r w:rsidRPr="007368A7">
        <w:rPr>
          <w:rFonts w:cs="Times New Roman"/>
          <w:i/>
          <w:iCs/>
          <w:spacing w:val="-4"/>
        </w:rPr>
        <w:t xml:space="preserve"> </w:t>
      </w:r>
      <w:r w:rsidRPr="007368A7">
        <w:rPr>
          <w:rFonts w:cs="Times New Roman"/>
          <w:i/>
          <w:iCs/>
        </w:rPr>
        <w:t>II:</w:t>
      </w:r>
      <w:r w:rsidRPr="007368A7">
        <w:rPr>
          <w:rFonts w:cs="Times New Roman"/>
          <w:i/>
          <w:iCs/>
          <w:spacing w:val="13"/>
        </w:rPr>
        <w:t xml:space="preserve"> </w:t>
      </w:r>
      <w:r w:rsidRPr="007368A7">
        <w:rPr>
          <w:rFonts w:cs="Times New Roman"/>
          <w:i/>
          <w:iCs/>
        </w:rPr>
        <w:t>Performance</w:t>
      </w:r>
      <w:r w:rsidRPr="007368A7">
        <w:rPr>
          <w:rFonts w:cs="Times New Roman"/>
          <w:i/>
          <w:iCs/>
          <w:spacing w:val="-3"/>
        </w:rPr>
        <w:t xml:space="preserve"> </w:t>
      </w:r>
      <w:r w:rsidRPr="007368A7">
        <w:rPr>
          <w:rFonts w:cs="Times New Roman"/>
          <w:i/>
          <w:iCs/>
        </w:rPr>
        <w:t>Comparison</w:t>
      </w:r>
      <w:r w:rsidRPr="007368A7">
        <w:rPr>
          <w:rFonts w:cs="Times New Roman"/>
          <w:i/>
          <w:iCs/>
          <w:spacing w:val="-3"/>
        </w:rPr>
        <w:t xml:space="preserve"> </w:t>
      </w:r>
      <w:r w:rsidRPr="007368A7">
        <w:rPr>
          <w:rFonts w:cs="Times New Roman"/>
          <w:i/>
          <w:iCs/>
        </w:rPr>
        <w:t>Across</w:t>
      </w:r>
      <w:r w:rsidRPr="007368A7">
        <w:rPr>
          <w:rFonts w:cs="Times New Roman"/>
          <w:i/>
          <w:iCs/>
          <w:spacing w:val="-3"/>
        </w:rPr>
        <w:t xml:space="preserve"> </w:t>
      </w:r>
      <w:r w:rsidRPr="007368A7">
        <w:rPr>
          <w:rFonts w:cs="Times New Roman"/>
          <w:i/>
          <w:iCs/>
        </w:rPr>
        <w:t>Models</w:t>
      </w:r>
      <w:r w:rsidRPr="007368A7">
        <w:rPr>
          <w:rFonts w:cs="Times New Roman"/>
          <w:i/>
          <w:iCs/>
          <w:spacing w:val="-3"/>
        </w:rPr>
        <w:t xml:space="preserve"> </w:t>
      </w:r>
      <w:r w:rsidRPr="007368A7">
        <w:rPr>
          <w:rFonts w:cs="Times New Roman"/>
          <w:i/>
          <w:iCs/>
        </w:rPr>
        <w:t>on</w:t>
      </w:r>
      <w:r w:rsidRPr="007368A7">
        <w:rPr>
          <w:rFonts w:cs="Times New Roman"/>
          <w:i/>
          <w:iCs/>
          <w:spacing w:val="-3"/>
        </w:rPr>
        <w:t xml:space="preserve"> </w:t>
      </w:r>
      <w:r w:rsidR="00D45C13" w:rsidRPr="007368A7">
        <w:rPr>
          <w:rFonts w:cs="Times New Roman"/>
          <w:i/>
          <w:iCs/>
        </w:rPr>
        <w:t>HMS</w:t>
      </w:r>
      <w:r w:rsidR="00D45C13" w:rsidRPr="007368A7">
        <w:rPr>
          <w:rFonts w:cs="Times New Roman"/>
          <w:i/>
          <w:iCs/>
          <w:spacing w:val="-3"/>
        </w:rPr>
        <w:t xml:space="preserve"> Dataset</w:t>
      </w:r>
    </w:p>
    <w:tbl>
      <w:tblPr>
        <w:tblW w:w="4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850"/>
        <w:gridCol w:w="993"/>
        <w:gridCol w:w="850"/>
        <w:gridCol w:w="709"/>
      </w:tblGrid>
      <w:tr w:rsidR="00F0029F" w14:paraId="662D8D60" w14:textId="77777777" w:rsidTr="00F0029F">
        <w:trPr>
          <w:trHeight w:val="237"/>
        </w:trPr>
        <w:tc>
          <w:tcPr>
            <w:tcW w:w="1418" w:type="dxa"/>
          </w:tcPr>
          <w:p w14:paraId="6A5DC984" w14:textId="77777777" w:rsidR="00F0029F" w:rsidRPr="00F0029F" w:rsidRDefault="00F0029F" w:rsidP="0065384F">
            <w:pPr>
              <w:pStyle w:val="TableParagraph"/>
              <w:spacing w:line="210" w:lineRule="exact"/>
              <w:rPr>
                <w:rFonts w:ascii="Times New Roman" w:hAnsi="Times New Roman" w:cs="Times New Roman"/>
                <w:bCs/>
                <w:sz w:val="20"/>
                <w:szCs w:val="20"/>
              </w:rPr>
            </w:pPr>
            <w:bookmarkStart w:id="0" w:name="_Hlk200266627"/>
            <w:r w:rsidRPr="00F0029F">
              <w:rPr>
                <w:rFonts w:ascii="Times New Roman" w:hAnsi="Times New Roman" w:cs="Times New Roman"/>
                <w:bCs/>
                <w:spacing w:val="-2"/>
                <w:sz w:val="20"/>
                <w:szCs w:val="20"/>
              </w:rPr>
              <w:t>Model</w:t>
            </w:r>
          </w:p>
        </w:tc>
        <w:tc>
          <w:tcPr>
            <w:tcW w:w="850" w:type="dxa"/>
          </w:tcPr>
          <w:p w14:paraId="2B08ADB0" w14:textId="77777777" w:rsidR="00F0029F" w:rsidRPr="00F0029F" w:rsidRDefault="00F0029F" w:rsidP="0065384F">
            <w:pPr>
              <w:pStyle w:val="TableParagraph"/>
              <w:spacing w:line="210" w:lineRule="exact"/>
              <w:ind w:left="8" w:right="2"/>
              <w:rPr>
                <w:rFonts w:ascii="Times New Roman" w:hAnsi="Times New Roman" w:cs="Times New Roman"/>
                <w:bCs/>
                <w:sz w:val="20"/>
                <w:szCs w:val="20"/>
              </w:rPr>
            </w:pPr>
            <w:r w:rsidRPr="00F0029F">
              <w:rPr>
                <w:rFonts w:ascii="Times New Roman" w:hAnsi="Times New Roman" w:cs="Times New Roman"/>
                <w:bCs/>
                <w:spacing w:val="-4"/>
                <w:sz w:val="20"/>
                <w:szCs w:val="20"/>
              </w:rPr>
              <w:t>Train</w:t>
            </w:r>
            <w:r w:rsidRPr="00F0029F">
              <w:rPr>
                <w:rFonts w:ascii="Times New Roman" w:hAnsi="Times New Roman" w:cs="Times New Roman"/>
                <w:bCs/>
                <w:spacing w:val="8"/>
                <w:sz w:val="20"/>
                <w:szCs w:val="20"/>
              </w:rPr>
              <w:t xml:space="preserve"> </w:t>
            </w:r>
            <w:r w:rsidRPr="00F0029F">
              <w:rPr>
                <w:rFonts w:ascii="Times New Roman" w:hAnsi="Times New Roman" w:cs="Times New Roman"/>
                <w:bCs/>
                <w:spacing w:val="-2"/>
                <w:sz w:val="20"/>
                <w:szCs w:val="20"/>
              </w:rPr>
              <w:t>Accuracy</w:t>
            </w:r>
          </w:p>
        </w:tc>
        <w:tc>
          <w:tcPr>
            <w:tcW w:w="993" w:type="dxa"/>
          </w:tcPr>
          <w:p w14:paraId="06FBFF86" w14:textId="77777777" w:rsidR="00F0029F" w:rsidRPr="00F0029F" w:rsidRDefault="00F0029F" w:rsidP="0065384F">
            <w:pPr>
              <w:pStyle w:val="TableParagraph"/>
              <w:spacing w:line="210" w:lineRule="exact"/>
              <w:ind w:left="9" w:right="2"/>
              <w:rPr>
                <w:rFonts w:ascii="Times New Roman" w:hAnsi="Times New Roman" w:cs="Times New Roman"/>
                <w:bCs/>
                <w:sz w:val="20"/>
                <w:szCs w:val="20"/>
              </w:rPr>
            </w:pPr>
            <w:r w:rsidRPr="00F0029F">
              <w:rPr>
                <w:rFonts w:ascii="Times New Roman" w:hAnsi="Times New Roman" w:cs="Times New Roman"/>
                <w:bCs/>
                <w:sz w:val="20"/>
                <w:szCs w:val="20"/>
              </w:rPr>
              <w:t>Val</w:t>
            </w:r>
            <w:r w:rsidRPr="00F0029F">
              <w:rPr>
                <w:rFonts w:ascii="Times New Roman" w:hAnsi="Times New Roman" w:cs="Times New Roman"/>
                <w:bCs/>
                <w:spacing w:val="11"/>
                <w:sz w:val="20"/>
                <w:szCs w:val="20"/>
              </w:rPr>
              <w:t xml:space="preserve"> </w:t>
            </w:r>
            <w:r w:rsidRPr="00F0029F">
              <w:rPr>
                <w:rFonts w:ascii="Times New Roman" w:hAnsi="Times New Roman" w:cs="Times New Roman"/>
                <w:bCs/>
                <w:spacing w:val="-2"/>
                <w:sz w:val="20"/>
                <w:szCs w:val="20"/>
              </w:rPr>
              <w:t>Accuracy</w:t>
            </w:r>
          </w:p>
        </w:tc>
        <w:tc>
          <w:tcPr>
            <w:tcW w:w="850" w:type="dxa"/>
          </w:tcPr>
          <w:p w14:paraId="0C866F34"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z w:val="20"/>
                <w:szCs w:val="20"/>
              </w:rPr>
              <w:t>Train</w:t>
            </w:r>
            <w:r w:rsidRPr="00F0029F">
              <w:rPr>
                <w:rFonts w:ascii="Times New Roman" w:hAnsi="Times New Roman" w:cs="Times New Roman"/>
                <w:bCs/>
                <w:spacing w:val="13"/>
                <w:sz w:val="20"/>
                <w:szCs w:val="20"/>
              </w:rPr>
              <w:t xml:space="preserve"> </w:t>
            </w:r>
            <w:r w:rsidRPr="00F0029F">
              <w:rPr>
                <w:rFonts w:ascii="Times New Roman" w:hAnsi="Times New Roman" w:cs="Times New Roman"/>
                <w:bCs/>
                <w:sz w:val="20"/>
                <w:szCs w:val="20"/>
              </w:rPr>
              <w:t>KL</w:t>
            </w:r>
            <w:r w:rsidRPr="00F0029F">
              <w:rPr>
                <w:rFonts w:ascii="Times New Roman" w:hAnsi="Times New Roman" w:cs="Times New Roman"/>
                <w:bCs/>
                <w:spacing w:val="14"/>
                <w:sz w:val="20"/>
                <w:szCs w:val="20"/>
              </w:rPr>
              <w:t xml:space="preserve"> </w:t>
            </w:r>
            <w:r w:rsidRPr="00F0029F">
              <w:rPr>
                <w:rFonts w:ascii="Times New Roman" w:hAnsi="Times New Roman" w:cs="Times New Roman"/>
                <w:bCs/>
                <w:spacing w:val="-4"/>
                <w:sz w:val="20"/>
                <w:szCs w:val="20"/>
              </w:rPr>
              <w:t>Div.</w:t>
            </w:r>
          </w:p>
        </w:tc>
        <w:tc>
          <w:tcPr>
            <w:tcW w:w="709" w:type="dxa"/>
          </w:tcPr>
          <w:p w14:paraId="1C64E839"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z w:val="20"/>
                <w:szCs w:val="20"/>
              </w:rPr>
              <w:t>Val</w:t>
            </w:r>
            <w:r w:rsidRPr="00F0029F">
              <w:rPr>
                <w:rFonts w:ascii="Times New Roman" w:hAnsi="Times New Roman" w:cs="Times New Roman"/>
                <w:bCs/>
                <w:spacing w:val="25"/>
                <w:sz w:val="20"/>
                <w:szCs w:val="20"/>
              </w:rPr>
              <w:t xml:space="preserve"> </w:t>
            </w:r>
            <w:r w:rsidRPr="00F0029F">
              <w:rPr>
                <w:rFonts w:ascii="Times New Roman" w:hAnsi="Times New Roman" w:cs="Times New Roman"/>
                <w:bCs/>
                <w:sz w:val="20"/>
                <w:szCs w:val="20"/>
              </w:rPr>
              <w:t>KL</w:t>
            </w:r>
            <w:r w:rsidRPr="00F0029F">
              <w:rPr>
                <w:rFonts w:ascii="Times New Roman" w:hAnsi="Times New Roman" w:cs="Times New Roman"/>
                <w:bCs/>
                <w:spacing w:val="25"/>
                <w:sz w:val="20"/>
                <w:szCs w:val="20"/>
              </w:rPr>
              <w:t xml:space="preserve"> </w:t>
            </w:r>
            <w:r w:rsidRPr="00F0029F">
              <w:rPr>
                <w:rFonts w:ascii="Times New Roman" w:hAnsi="Times New Roman" w:cs="Times New Roman"/>
                <w:bCs/>
                <w:spacing w:val="-4"/>
                <w:sz w:val="20"/>
                <w:szCs w:val="20"/>
              </w:rPr>
              <w:t>Div.</w:t>
            </w:r>
          </w:p>
        </w:tc>
      </w:tr>
      <w:tr w:rsidR="00F0029F" w14:paraId="78CAB1DD" w14:textId="77777777" w:rsidTr="00F0029F">
        <w:trPr>
          <w:trHeight w:val="237"/>
        </w:trPr>
        <w:tc>
          <w:tcPr>
            <w:tcW w:w="1418" w:type="dxa"/>
          </w:tcPr>
          <w:p w14:paraId="7C957E54"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2"/>
                <w:sz w:val="20"/>
                <w:szCs w:val="20"/>
              </w:rPr>
              <w:t>XGBoost</w:t>
            </w:r>
          </w:p>
        </w:tc>
        <w:tc>
          <w:tcPr>
            <w:tcW w:w="850" w:type="dxa"/>
          </w:tcPr>
          <w:p w14:paraId="0E1C5049"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2"/>
                <w:sz w:val="20"/>
                <w:szCs w:val="20"/>
              </w:rPr>
              <w:t>96.07%</w:t>
            </w:r>
          </w:p>
        </w:tc>
        <w:tc>
          <w:tcPr>
            <w:tcW w:w="993" w:type="dxa"/>
          </w:tcPr>
          <w:p w14:paraId="6F40A60E"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93.14%</w:t>
            </w:r>
          </w:p>
        </w:tc>
        <w:tc>
          <w:tcPr>
            <w:tcW w:w="850" w:type="dxa"/>
          </w:tcPr>
          <w:p w14:paraId="1E2F675E" w14:textId="77777777" w:rsidR="00F0029F" w:rsidRPr="00F0029F" w:rsidRDefault="00F0029F" w:rsidP="0065384F">
            <w:pPr>
              <w:pStyle w:val="TableParagraph"/>
              <w:ind w:right="1"/>
              <w:rPr>
                <w:rFonts w:ascii="Times New Roman" w:hAnsi="Times New Roman" w:cs="Times New Roman"/>
                <w:bCs/>
                <w:sz w:val="20"/>
                <w:szCs w:val="20"/>
              </w:rPr>
            </w:pPr>
            <w:r w:rsidRPr="00F0029F">
              <w:rPr>
                <w:rFonts w:ascii="Times New Roman" w:hAnsi="Times New Roman" w:cs="Times New Roman"/>
                <w:bCs/>
                <w:spacing w:val="-2"/>
                <w:sz w:val="20"/>
                <w:szCs w:val="20"/>
              </w:rPr>
              <w:t>0.1807</w:t>
            </w:r>
          </w:p>
        </w:tc>
        <w:tc>
          <w:tcPr>
            <w:tcW w:w="709" w:type="dxa"/>
          </w:tcPr>
          <w:p w14:paraId="1B9D336E"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0.2570</w:t>
            </w:r>
          </w:p>
        </w:tc>
      </w:tr>
      <w:tr w:rsidR="00F0029F" w14:paraId="66B8E721" w14:textId="77777777" w:rsidTr="00F0029F">
        <w:trPr>
          <w:trHeight w:val="237"/>
        </w:trPr>
        <w:tc>
          <w:tcPr>
            <w:tcW w:w="1418" w:type="dxa"/>
          </w:tcPr>
          <w:p w14:paraId="13166040"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2"/>
                <w:w w:val="105"/>
                <w:sz w:val="20"/>
                <w:szCs w:val="20"/>
              </w:rPr>
              <w:t>ConvLSTM</w:t>
            </w:r>
          </w:p>
        </w:tc>
        <w:tc>
          <w:tcPr>
            <w:tcW w:w="850" w:type="dxa"/>
          </w:tcPr>
          <w:p w14:paraId="5C773F8E"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2"/>
                <w:sz w:val="20"/>
                <w:szCs w:val="20"/>
              </w:rPr>
              <w:t>90.63%</w:t>
            </w:r>
          </w:p>
        </w:tc>
        <w:tc>
          <w:tcPr>
            <w:tcW w:w="993" w:type="dxa"/>
          </w:tcPr>
          <w:p w14:paraId="65CE0F4A"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88.24%</w:t>
            </w:r>
          </w:p>
        </w:tc>
        <w:tc>
          <w:tcPr>
            <w:tcW w:w="850" w:type="dxa"/>
          </w:tcPr>
          <w:p w14:paraId="2D2D6885" w14:textId="77777777" w:rsidR="00F0029F" w:rsidRPr="00F0029F" w:rsidRDefault="00F0029F" w:rsidP="0065384F">
            <w:pPr>
              <w:pStyle w:val="TableParagraph"/>
              <w:ind w:right="1"/>
              <w:rPr>
                <w:rFonts w:ascii="Times New Roman" w:hAnsi="Times New Roman" w:cs="Times New Roman"/>
                <w:bCs/>
                <w:sz w:val="20"/>
                <w:szCs w:val="20"/>
              </w:rPr>
            </w:pPr>
            <w:r w:rsidRPr="00F0029F">
              <w:rPr>
                <w:rFonts w:ascii="Times New Roman" w:hAnsi="Times New Roman" w:cs="Times New Roman"/>
                <w:bCs/>
                <w:spacing w:val="-2"/>
                <w:sz w:val="20"/>
                <w:szCs w:val="20"/>
              </w:rPr>
              <w:t>0.3647</w:t>
            </w:r>
          </w:p>
        </w:tc>
        <w:tc>
          <w:tcPr>
            <w:tcW w:w="709" w:type="dxa"/>
          </w:tcPr>
          <w:p w14:paraId="420F799A"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0.4337</w:t>
            </w:r>
          </w:p>
        </w:tc>
      </w:tr>
      <w:tr w:rsidR="00F0029F" w14:paraId="4D4506D5" w14:textId="77777777" w:rsidTr="00F0029F">
        <w:trPr>
          <w:trHeight w:val="237"/>
        </w:trPr>
        <w:tc>
          <w:tcPr>
            <w:tcW w:w="1418" w:type="dxa"/>
          </w:tcPr>
          <w:p w14:paraId="5E87C330"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5"/>
                <w:w w:val="105"/>
                <w:sz w:val="20"/>
                <w:szCs w:val="20"/>
              </w:rPr>
              <w:t>SVM</w:t>
            </w:r>
          </w:p>
        </w:tc>
        <w:tc>
          <w:tcPr>
            <w:tcW w:w="850" w:type="dxa"/>
          </w:tcPr>
          <w:p w14:paraId="1957FF5A"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2"/>
                <w:sz w:val="20"/>
                <w:szCs w:val="20"/>
              </w:rPr>
              <w:t>86.87%</w:t>
            </w:r>
          </w:p>
        </w:tc>
        <w:tc>
          <w:tcPr>
            <w:tcW w:w="993" w:type="dxa"/>
          </w:tcPr>
          <w:p w14:paraId="5FEBDD49"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84.33%</w:t>
            </w:r>
          </w:p>
        </w:tc>
        <w:tc>
          <w:tcPr>
            <w:tcW w:w="850" w:type="dxa"/>
          </w:tcPr>
          <w:p w14:paraId="76951F32" w14:textId="77777777" w:rsidR="00F0029F" w:rsidRPr="00F0029F" w:rsidRDefault="00F0029F" w:rsidP="0065384F">
            <w:pPr>
              <w:pStyle w:val="TableParagraph"/>
              <w:ind w:right="1"/>
              <w:rPr>
                <w:rFonts w:ascii="Times New Roman" w:hAnsi="Times New Roman" w:cs="Times New Roman"/>
                <w:bCs/>
                <w:sz w:val="20"/>
                <w:szCs w:val="20"/>
              </w:rPr>
            </w:pPr>
            <w:r w:rsidRPr="00F0029F">
              <w:rPr>
                <w:rFonts w:ascii="Times New Roman" w:hAnsi="Times New Roman" w:cs="Times New Roman"/>
                <w:bCs/>
                <w:spacing w:val="-2"/>
                <w:sz w:val="20"/>
                <w:szCs w:val="20"/>
              </w:rPr>
              <w:t>0.4218</w:t>
            </w:r>
          </w:p>
        </w:tc>
        <w:tc>
          <w:tcPr>
            <w:tcW w:w="709" w:type="dxa"/>
          </w:tcPr>
          <w:p w14:paraId="51DAADA9"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0.4894</w:t>
            </w:r>
          </w:p>
        </w:tc>
      </w:tr>
      <w:tr w:rsidR="00F0029F" w14:paraId="35BFB58B" w14:textId="77777777" w:rsidTr="00F0029F">
        <w:trPr>
          <w:trHeight w:val="237"/>
        </w:trPr>
        <w:tc>
          <w:tcPr>
            <w:tcW w:w="1418" w:type="dxa"/>
          </w:tcPr>
          <w:p w14:paraId="6C23FC6F"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4"/>
                <w:sz w:val="20"/>
                <w:szCs w:val="20"/>
              </w:rPr>
              <w:t>Random</w:t>
            </w:r>
            <w:r w:rsidRPr="00F0029F">
              <w:rPr>
                <w:rFonts w:ascii="Times New Roman" w:hAnsi="Times New Roman" w:cs="Times New Roman"/>
                <w:bCs/>
                <w:spacing w:val="4"/>
                <w:sz w:val="20"/>
                <w:szCs w:val="20"/>
              </w:rPr>
              <w:t xml:space="preserve"> </w:t>
            </w:r>
            <w:r w:rsidRPr="00F0029F">
              <w:rPr>
                <w:rFonts w:ascii="Times New Roman" w:hAnsi="Times New Roman" w:cs="Times New Roman"/>
                <w:bCs/>
                <w:spacing w:val="-2"/>
                <w:sz w:val="20"/>
                <w:szCs w:val="20"/>
              </w:rPr>
              <w:t>Forest</w:t>
            </w:r>
          </w:p>
        </w:tc>
        <w:tc>
          <w:tcPr>
            <w:tcW w:w="850" w:type="dxa"/>
          </w:tcPr>
          <w:p w14:paraId="3B980D1C"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2"/>
                <w:sz w:val="20"/>
                <w:szCs w:val="20"/>
              </w:rPr>
              <w:t>87.55%</w:t>
            </w:r>
          </w:p>
        </w:tc>
        <w:tc>
          <w:tcPr>
            <w:tcW w:w="993" w:type="dxa"/>
          </w:tcPr>
          <w:p w14:paraId="533BBC78"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84.41%</w:t>
            </w:r>
          </w:p>
        </w:tc>
        <w:tc>
          <w:tcPr>
            <w:tcW w:w="850" w:type="dxa"/>
          </w:tcPr>
          <w:p w14:paraId="35BA2481" w14:textId="77777777" w:rsidR="00F0029F" w:rsidRPr="00F0029F" w:rsidRDefault="00F0029F" w:rsidP="0065384F">
            <w:pPr>
              <w:pStyle w:val="TableParagraph"/>
              <w:ind w:right="1"/>
              <w:rPr>
                <w:rFonts w:ascii="Times New Roman" w:hAnsi="Times New Roman" w:cs="Times New Roman"/>
                <w:bCs/>
                <w:sz w:val="20"/>
                <w:szCs w:val="20"/>
              </w:rPr>
            </w:pPr>
            <w:r w:rsidRPr="00F0029F">
              <w:rPr>
                <w:rFonts w:ascii="Times New Roman" w:hAnsi="Times New Roman" w:cs="Times New Roman"/>
                <w:bCs/>
                <w:spacing w:val="-2"/>
                <w:sz w:val="20"/>
                <w:szCs w:val="20"/>
              </w:rPr>
              <w:t>0.9056</w:t>
            </w:r>
          </w:p>
        </w:tc>
        <w:tc>
          <w:tcPr>
            <w:tcW w:w="709" w:type="dxa"/>
          </w:tcPr>
          <w:p w14:paraId="41174BB2"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0.9340</w:t>
            </w:r>
          </w:p>
        </w:tc>
      </w:tr>
      <w:tr w:rsidR="00F0029F" w14:paraId="3BC740F2" w14:textId="77777777" w:rsidTr="00F0029F">
        <w:trPr>
          <w:trHeight w:val="237"/>
        </w:trPr>
        <w:tc>
          <w:tcPr>
            <w:tcW w:w="1418" w:type="dxa"/>
          </w:tcPr>
          <w:p w14:paraId="16A47316" w14:textId="77777777" w:rsidR="00F0029F" w:rsidRPr="00F0029F" w:rsidRDefault="00F0029F" w:rsidP="0065384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4"/>
                <w:w w:val="105"/>
                <w:sz w:val="20"/>
                <w:szCs w:val="20"/>
              </w:rPr>
              <w:t>LSTM</w:t>
            </w:r>
          </w:p>
        </w:tc>
        <w:tc>
          <w:tcPr>
            <w:tcW w:w="850" w:type="dxa"/>
          </w:tcPr>
          <w:p w14:paraId="3DDFC173"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2"/>
                <w:sz w:val="20"/>
                <w:szCs w:val="20"/>
              </w:rPr>
              <w:t>79.68%</w:t>
            </w:r>
          </w:p>
        </w:tc>
        <w:tc>
          <w:tcPr>
            <w:tcW w:w="993" w:type="dxa"/>
          </w:tcPr>
          <w:p w14:paraId="4C0D23EE"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80.29%</w:t>
            </w:r>
          </w:p>
        </w:tc>
        <w:tc>
          <w:tcPr>
            <w:tcW w:w="850" w:type="dxa"/>
          </w:tcPr>
          <w:p w14:paraId="2F28426B" w14:textId="77777777" w:rsidR="00F0029F" w:rsidRPr="00F0029F" w:rsidRDefault="00F0029F" w:rsidP="0065384F">
            <w:pPr>
              <w:pStyle w:val="TableParagraph"/>
              <w:ind w:right="1"/>
              <w:rPr>
                <w:rFonts w:ascii="Times New Roman" w:hAnsi="Times New Roman" w:cs="Times New Roman"/>
                <w:bCs/>
                <w:sz w:val="20"/>
                <w:szCs w:val="20"/>
              </w:rPr>
            </w:pPr>
            <w:r w:rsidRPr="00F0029F">
              <w:rPr>
                <w:rFonts w:ascii="Times New Roman" w:hAnsi="Times New Roman" w:cs="Times New Roman"/>
                <w:bCs/>
                <w:spacing w:val="-2"/>
                <w:sz w:val="20"/>
                <w:szCs w:val="20"/>
              </w:rPr>
              <w:t>0.5917</w:t>
            </w:r>
          </w:p>
        </w:tc>
        <w:tc>
          <w:tcPr>
            <w:tcW w:w="709" w:type="dxa"/>
          </w:tcPr>
          <w:p w14:paraId="3688DE5C"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0.5923</w:t>
            </w:r>
          </w:p>
        </w:tc>
      </w:tr>
      <w:tr w:rsidR="00F0029F" w14:paraId="039F4EA6" w14:textId="77777777" w:rsidTr="00F0029F">
        <w:trPr>
          <w:trHeight w:val="37"/>
        </w:trPr>
        <w:tc>
          <w:tcPr>
            <w:tcW w:w="1418" w:type="dxa"/>
          </w:tcPr>
          <w:p w14:paraId="66134F5D" w14:textId="2F219377" w:rsidR="00F0029F" w:rsidRPr="00F0029F" w:rsidRDefault="00F0029F" w:rsidP="00F0029F">
            <w:pPr>
              <w:pStyle w:val="TableParagraph"/>
              <w:spacing w:line="210" w:lineRule="exact"/>
              <w:rPr>
                <w:rFonts w:ascii="Times New Roman" w:hAnsi="Times New Roman" w:cs="Times New Roman"/>
                <w:bCs/>
                <w:sz w:val="20"/>
                <w:szCs w:val="20"/>
              </w:rPr>
            </w:pPr>
            <w:r w:rsidRPr="00F0029F">
              <w:rPr>
                <w:rFonts w:ascii="Times New Roman" w:hAnsi="Times New Roman" w:cs="Times New Roman"/>
                <w:bCs/>
                <w:spacing w:val="-2"/>
                <w:sz w:val="20"/>
                <w:szCs w:val="20"/>
              </w:rPr>
              <w:t>EfficientNetB2</w:t>
            </w:r>
          </w:p>
        </w:tc>
        <w:tc>
          <w:tcPr>
            <w:tcW w:w="850" w:type="dxa"/>
          </w:tcPr>
          <w:p w14:paraId="0DD89F9E" w14:textId="77777777" w:rsidR="00F0029F" w:rsidRPr="00F0029F" w:rsidRDefault="00F0029F" w:rsidP="0065384F">
            <w:pPr>
              <w:pStyle w:val="TableParagraph"/>
              <w:ind w:left="8"/>
              <w:rPr>
                <w:rFonts w:ascii="Times New Roman" w:hAnsi="Times New Roman" w:cs="Times New Roman"/>
                <w:bCs/>
                <w:sz w:val="20"/>
                <w:szCs w:val="20"/>
              </w:rPr>
            </w:pPr>
            <w:r w:rsidRPr="00F0029F">
              <w:rPr>
                <w:rFonts w:ascii="Times New Roman" w:hAnsi="Times New Roman" w:cs="Times New Roman"/>
                <w:bCs/>
                <w:spacing w:val="-10"/>
                <w:sz w:val="20"/>
                <w:szCs w:val="20"/>
              </w:rPr>
              <w:t>-</w:t>
            </w:r>
          </w:p>
        </w:tc>
        <w:tc>
          <w:tcPr>
            <w:tcW w:w="993" w:type="dxa"/>
          </w:tcPr>
          <w:p w14:paraId="4A703B67" w14:textId="77777777" w:rsidR="00F0029F" w:rsidRPr="00F0029F" w:rsidRDefault="00F0029F" w:rsidP="0065384F">
            <w:pPr>
              <w:pStyle w:val="TableParagraph"/>
              <w:ind w:left="9"/>
              <w:rPr>
                <w:rFonts w:ascii="Times New Roman" w:hAnsi="Times New Roman" w:cs="Times New Roman"/>
                <w:bCs/>
                <w:sz w:val="20"/>
                <w:szCs w:val="20"/>
              </w:rPr>
            </w:pPr>
            <w:r w:rsidRPr="00F0029F">
              <w:rPr>
                <w:rFonts w:ascii="Times New Roman" w:hAnsi="Times New Roman" w:cs="Times New Roman"/>
                <w:bCs/>
                <w:spacing w:val="-2"/>
                <w:sz w:val="20"/>
                <w:szCs w:val="20"/>
              </w:rPr>
              <w:t>77.51%</w:t>
            </w:r>
          </w:p>
        </w:tc>
        <w:tc>
          <w:tcPr>
            <w:tcW w:w="850" w:type="dxa"/>
          </w:tcPr>
          <w:p w14:paraId="4EA3B170"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10"/>
                <w:sz w:val="20"/>
                <w:szCs w:val="20"/>
              </w:rPr>
              <w:t>-</w:t>
            </w:r>
          </w:p>
        </w:tc>
        <w:tc>
          <w:tcPr>
            <w:tcW w:w="709" w:type="dxa"/>
          </w:tcPr>
          <w:p w14:paraId="78DAF96A" w14:textId="77777777" w:rsidR="00F0029F" w:rsidRPr="00F0029F" w:rsidRDefault="00F0029F" w:rsidP="0065384F">
            <w:pPr>
              <w:pStyle w:val="TableParagraph"/>
              <w:rPr>
                <w:rFonts w:ascii="Times New Roman" w:hAnsi="Times New Roman" w:cs="Times New Roman"/>
                <w:bCs/>
                <w:sz w:val="20"/>
                <w:szCs w:val="20"/>
              </w:rPr>
            </w:pPr>
            <w:r w:rsidRPr="00F0029F">
              <w:rPr>
                <w:rFonts w:ascii="Times New Roman" w:hAnsi="Times New Roman" w:cs="Times New Roman"/>
                <w:bCs/>
                <w:spacing w:val="-2"/>
                <w:sz w:val="20"/>
                <w:szCs w:val="20"/>
              </w:rPr>
              <w:t>0.4352</w:t>
            </w:r>
          </w:p>
        </w:tc>
      </w:tr>
      <w:bookmarkEnd w:id="0"/>
    </w:tbl>
    <w:p w14:paraId="0F904D0C" w14:textId="77777777" w:rsidR="00D45C13" w:rsidRDefault="00D45C13" w:rsidP="00D45C13">
      <w:pPr>
        <w:pStyle w:val="H1"/>
        <w:spacing w:before="0"/>
        <w:jc w:val="both"/>
        <w:rPr>
          <w:rFonts w:ascii="Times New Roman" w:hAnsi="Times New Roman" w:cs="Times New Roman"/>
          <w:b w:val="0"/>
          <w:bCs w:val="0"/>
          <w:color w:val="auto"/>
          <w:sz w:val="20"/>
          <w:szCs w:val="20"/>
        </w:rPr>
      </w:pPr>
    </w:p>
    <w:p w14:paraId="7CDF1432" w14:textId="0EBD4F1A" w:rsidR="00D45C13" w:rsidRDefault="00D45C13" w:rsidP="00D45C13">
      <w:pPr>
        <w:pStyle w:val="H1"/>
        <w:spacing w:before="0"/>
        <w:jc w:val="both"/>
        <w:rPr>
          <w:rFonts w:ascii="Times New Roman" w:hAnsi="Times New Roman" w:cs="Times New Roman"/>
          <w:b w:val="0"/>
          <w:bCs w:val="0"/>
          <w:color w:val="auto"/>
          <w:sz w:val="20"/>
          <w:szCs w:val="20"/>
        </w:rPr>
      </w:pPr>
      <w:r w:rsidRPr="00D45C13">
        <w:rPr>
          <w:rFonts w:ascii="Times New Roman" w:hAnsi="Times New Roman" w:cs="Times New Roman"/>
          <w:b w:val="0"/>
          <w:bCs w:val="0"/>
          <w:color w:val="auto"/>
          <w:sz w:val="20"/>
          <w:szCs w:val="20"/>
        </w:rPr>
        <w:t>To contextualize these results, Table III presents a comparative analysis with prior published works that have also used the HMS dataset and reported accuracy and</w:t>
      </w:r>
      <w:r>
        <w:rPr>
          <w:rFonts w:ascii="Times New Roman" w:hAnsi="Times New Roman" w:cs="Times New Roman"/>
          <w:b w:val="0"/>
          <w:bCs w:val="0"/>
          <w:color w:val="auto"/>
          <w:sz w:val="20"/>
          <w:szCs w:val="20"/>
        </w:rPr>
        <w:t xml:space="preserve"> </w:t>
      </w:r>
      <w:r w:rsidRPr="00D45C13">
        <w:rPr>
          <w:rFonts w:ascii="Times New Roman" w:hAnsi="Times New Roman" w:cs="Times New Roman"/>
          <w:b w:val="0"/>
          <w:bCs w:val="0"/>
          <w:color w:val="auto"/>
          <w:sz w:val="20"/>
          <w:szCs w:val="20"/>
        </w:rPr>
        <w:t>divergence. As shown, most earlier studies reported lower classification accuracy (ranging from 60% to 75%) and typically exhibited higher KL divergence values (above 0.39), suggesting suboptimal probabilistic calibration. In contrast, our XGBoost model achieves both superior accuracy and calibration, outperforming these baselines in terms of reliability and clinical relevance.</w:t>
      </w:r>
    </w:p>
    <w:p w14:paraId="4D619988" w14:textId="5C7CA553" w:rsidR="00D45C13" w:rsidRDefault="00D45C13" w:rsidP="00D45C13">
      <w:pPr>
        <w:pStyle w:val="H1"/>
        <w:spacing w:before="0"/>
        <w:jc w:val="both"/>
        <w:rPr>
          <w:rFonts w:ascii="Times New Roman" w:hAnsi="Times New Roman" w:cs="Times New Roman"/>
          <w:b w:val="0"/>
          <w:bCs w:val="0"/>
          <w:color w:val="auto"/>
          <w:sz w:val="20"/>
          <w:szCs w:val="20"/>
        </w:rPr>
      </w:pPr>
      <w:r w:rsidRPr="00D45C13">
        <w:rPr>
          <w:rFonts w:ascii="Times New Roman" w:hAnsi="Times New Roman" w:cs="Times New Roman"/>
          <w:b w:val="0"/>
          <w:bCs w:val="0"/>
          <w:color w:val="auto"/>
          <w:sz w:val="20"/>
          <w:szCs w:val="20"/>
        </w:rPr>
        <w:t xml:space="preserve">Table III highlights the comparative performance of our proposed XGBoost model against several recent studies that also utilized the HMS Harmful Brain Activity Classification </w:t>
      </w:r>
      <w:r w:rsidRPr="00D45C13">
        <w:rPr>
          <w:rFonts w:ascii="Times New Roman" w:hAnsi="Times New Roman" w:cs="Times New Roman"/>
          <w:b w:val="0"/>
          <w:bCs w:val="0"/>
          <w:color w:val="auto"/>
          <w:sz w:val="20"/>
          <w:szCs w:val="20"/>
        </w:rPr>
        <w:lastRenderedPageBreak/>
        <w:t>dataset. Notably, prior approaches such as those by Ganesan et al. [6], Habijan et al. [7], Kamble et al. [10], and Manikandan et al. [1] primarily relied on deep learning architectures—often leveraging spectrograms, convolutional backbones, or ensemble pipelines. While these models reported moderate classification accuracies in the range of 60–75%, their KL divergence values typically exceeded 0.39, indicating suboptimal probabilistic calibration. In contrast, our XGBoost-based approach achieved a substantially higher validation accuracy of 93.14% alongside a lower KL divergence of 0.2570, reflecting both predictive accuracy and alignment with expert soft labels. This demonstrates the effectiveness of integrating robust feature engineering with tree-based ensemble learning for structured EEG data. Furthermore, unlike deep models requiring extensive tuning and compute resources, our model offers superior performance with better calibration, making it suitable for real-time clinical deployment scenarios.</w:t>
      </w:r>
    </w:p>
    <w:p w14:paraId="177E95E7" w14:textId="77777777" w:rsidR="00D45C13" w:rsidRDefault="00D45C13" w:rsidP="00D45C13">
      <w:pPr>
        <w:pStyle w:val="PARA"/>
        <w:jc w:val="center"/>
        <w:rPr>
          <w:rFonts w:cs="Times New Roman"/>
          <w:i/>
          <w:iCs/>
        </w:rPr>
      </w:pPr>
    </w:p>
    <w:p w14:paraId="5BA70105" w14:textId="18DA734A" w:rsidR="00D45C13" w:rsidRDefault="00D45C13" w:rsidP="00D45C13">
      <w:pPr>
        <w:pStyle w:val="PARA"/>
        <w:jc w:val="center"/>
        <w:rPr>
          <w:rFonts w:cs="Times New Roman"/>
          <w:i/>
          <w:iCs/>
        </w:rPr>
      </w:pPr>
      <w:r w:rsidRPr="007368A7">
        <w:rPr>
          <w:rFonts w:cs="Times New Roman"/>
          <w:i/>
          <w:iCs/>
        </w:rPr>
        <w:t>Table</w:t>
      </w:r>
      <w:r w:rsidRPr="007368A7">
        <w:rPr>
          <w:rFonts w:cs="Times New Roman"/>
          <w:i/>
          <w:iCs/>
          <w:spacing w:val="-4"/>
        </w:rPr>
        <w:t xml:space="preserve"> </w:t>
      </w:r>
      <w:r w:rsidRPr="007368A7">
        <w:rPr>
          <w:rFonts w:cs="Times New Roman"/>
          <w:i/>
          <w:iCs/>
        </w:rPr>
        <w:t>I</w:t>
      </w:r>
      <w:r>
        <w:rPr>
          <w:rFonts w:cs="Times New Roman"/>
          <w:i/>
          <w:iCs/>
        </w:rPr>
        <w:t>I</w:t>
      </w:r>
      <w:r w:rsidRPr="007368A7">
        <w:rPr>
          <w:rFonts w:cs="Times New Roman"/>
          <w:i/>
          <w:iCs/>
        </w:rPr>
        <w:t>I:</w:t>
      </w:r>
      <w:r w:rsidRPr="007368A7">
        <w:rPr>
          <w:rFonts w:cs="Times New Roman"/>
          <w:i/>
          <w:iCs/>
          <w:spacing w:val="13"/>
        </w:rPr>
        <w:t xml:space="preserve"> </w:t>
      </w:r>
      <w:r>
        <w:rPr>
          <w:rFonts w:cs="Times New Roman"/>
          <w:i/>
          <w:iCs/>
        </w:rPr>
        <w:t>Comparison Of Our Model with Prior Models on HMS Dataset</w:t>
      </w:r>
    </w:p>
    <w:tbl>
      <w:tblPr>
        <w:tblStyle w:val="TableGrid"/>
        <w:tblW w:w="4745" w:type="dxa"/>
        <w:tblInd w:w="-5" w:type="dxa"/>
        <w:tblLayout w:type="fixed"/>
        <w:tblLook w:val="04A0" w:firstRow="1" w:lastRow="0" w:firstColumn="1" w:lastColumn="0" w:noHBand="0" w:noVBand="1"/>
      </w:tblPr>
      <w:tblGrid>
        <w:gridCol w:w="496"/>
        <w:gridCol w:w="1016"/>
        <w:gridCol w:w="1182"/>
        <w:gridCol w:w="708"/>
        <w:gridCol w:w="709"/>
        <w:gridCol w:w="634"/>
      </w:tblGrid>
      <w:tr w:rsidR="00150F0F" w:rsidRPr="00F1650F" w14:paraId="4837C024" w14:textId="77777777" w:rsidTr="00D544B8">
        <w:trPr>
          <w:trHeight w:val="512"/>
        </w:trPr>
        <w:tc>
          <w:tcPr>
            <w:tcW w:w="496" w:type="dxa"/>
            <w:hideMark/>
          </w:tcPr>
          <w:p w14:paraId="0659A8B4" w14:textId="77777777" w:rsidR="00150F0F" w:rsidRPr="00F1650F" w:rsidRDefault="00150F0F" w:rsidP="00150F0F">
            <w:pPr>
              <w:jc w:val="center"/>
              <w:rPr>
                <w:rFonts w:ascii="Times New Roman" w:hAnsi="Times New Roman" w:cs="Times New Roman"/>
                <w:b/>
                <w:bCs/>
                <w:sz w:val="16"/>
                <w:szCs w:val="16"/>
              </w:rPr>
            </w:pPr>
            <w:r w:rsidRPr="00F1650F">
              <w:rPr>
                <w:rFonts w:ascii="Times New Roman" w:hAnsi="Times New Roman" w:cs="Times New Roman"/>
                <w:b/>
                <w:bCs/>
                <w:sz w:val="16"/>
                <w:szCs w:val="16"/>
              </w:rPr>
              <w:t>Ref. No.</w:t>
            </w:r>
          </w:p>
        </w:tc>
        <w:tc>
          <w:tcPr>
            <w:tcW w:w="1016" w:type="dxa"/>
            <w:hideMark/>
          </w:tcPr>
          <w:p w14:paraId="38A9B05F" w14:textId="77777777" w:rsidR="00150F0F" w:rsidRPr="00F1650F" w:rsidRDefault="00150F0F" w:rsidP="00150F0F">
            <w:pPr>
              <w:widowControl/>
              <w:autoSpaceDE/>
              <w:autoSpaceDN/>
              <w:jc w:val="center"/>
              <w:rPr>
                <w:rFonts w:ascii="Times New Roman" w:hAnsi="Times New Roman" w:cs="Times New Roman"/>
                <w:b/>
                <w:bCs/>
                <w:sz w:val="16"/>
                <w:szCs w:val="16"/>
                <w:lang w:val="en-IN" w:eastAsia="en-IN"/>
              </w:rPr>
            </w:pPr>
            <w:r w:rsidRPr="00F1650F">
              <w:rPr>
                <w:rFonts w:ascii="Times New Roman" w:hAnsi="Times New Roman" w:cs="Times New Roman"/>
                <w:b/>
                <w:bCs/>
                <w:sz w:val="16"/>
                <w:szCs w:val="16"/>
                <w:lang w:val="en-IN" w:eastAsia="en-IN"/>
              </w:rPr>
              <w:t>Authors (Year)</w:t>
            </w:r>
          </w:p>
        </w:tc>
        <w:tc>
          <w:tcPr>
            <w:tcW w:w="1182" w:type="dxa"/>
            <w:hideMark/>
          </w:tcPr>
          <w:p w14:paraId="60E00214" w14:textId="77777777" w:rsidR="00150F0F" w:rsidRPr="00F1650F" w:rsidRDefault="00150F0F" w:rsidP="00150F0F">
            <w:pPr>
              <w:widowControl/>
              <w:autoSpaceDE/>
              <w:autoSpaceDN/>
              <w:jc w:val="center"/>
              <w:rPr>
                <w:rFonts w:ascii="Times New Roman" w:hAnsi="Times New Roman" w:cs="Times New Roman"/>
                <w:b/>
                <w:bCs/>
                <w:sz w:val="16"/>
                <w:szCs w:val="16"/>
                <w:lang w:val="en-IN" w:eastAsia="en-IN"/>
              </w:rPr>
            </w:pPr>
            <w:r w:rsidRPr="00F1650F">
              <w:rPr>
                <w:rFonts w:ascii="Times New Roman" w:hAnsi="Times New Roman" w:cs="Times New Roman"/>
                <w:b/>
                <w:bCs/>
                <w:sz w:val="16"/>
                <w:szCs w:val="16"/>
                <w:lang w:val="en-IN" w:eastAsia="en-IN"/>
              </w:rPr>
              <w:t>Model Type</w:t>
            </w:r>
          </w:p>
        </w:tc>
        <w:tc>
          <w:tcPr>
            <w:tcW w:w="708" w:type="dxa"/>
            <w:hideMark/>
          </w:tcPr>
          <w:p w14:paraId="0CBCA3BE" w14:textId="4EAEAEE4" w:rsidR="00150F0F" w:rsidRPr="00F1650F" w:rsidRDefault="00150F0F" w:rsidP="00150F0F">
            <w:pPr>
              <w:widowControl/>
              <w:autoSpaceDE/>
              <w:autoSpaceDN/>
              <w:jc w:val="center"/>
              <w:rPr>
                <w:rFonts w:ascii="Times New Roman" w:hAnsi="Times New Roman" w:cs="Times New Roman"/>
                <w:b/>
                <w:bCs/>
                <w:sz w:val="16"/>
                <w:szCs w:val="16"/>
                <w:lang w:val="en-IN" w:eastAsia="en-IN"/>
              </w:rPr>
            </w:pPr>
            <w:r w:rsidRPr="00F1650F">
              <w:rPr>
                <w:rFonts w:ascii="Times New Roman" w:hAnsi="Times New Roman" w:cs="Times New Roman"/>
                <w:b/>
                <w:bCs/>
                <w:sz w:val="16"/>
                <w:szCs w:val="16"/>
                <w:lang w:val="en-IN" w:eastAsia="en-IN"/>
              </w:rPr>
              <w:t>Data</w:t>
            </w:r>
            <w:r w:rsidR="000B1F85">
              <w:rPr>
                <w:rFonts w:ascii="Times New Roman" w:hAnsi="Times New Roman" w:cs="Times New Roman"/>
                <w:b/>
                <w:bCs/>
                <w:sz w:val="16"/>
                <w:szCs w:val="16"/>
                <w:lang w:val="en-IN" w:eastAsia="en-IN"/>
              </w:rPr>
              <w:t>s</w:t>
            </w:r>
            <w:r w:rsidRPr="00F1650F">
              <w:rPr>
                <w:rFonts w:ascii="Times New Roman" w:hAnsi="Times New Roman" w:cs="Times New Roman"/>
                <w:b/>
                <w:bCs/>
                <w:sz w:val="16"/>
                <w:szCs w:val="16"/>
                <w:lang w:val="en-IN" w:eastAsia="en-IN"/>
              </w:rPr>
              <w:t>et</w:t>
            </w:r>
          </w:p>
        </w:tc>
        <w:tc>
          <w:tcPr>
            <w:tcW w:w="709" w:type="dxa"/>
            <w:hideMark/>
          </w:tcPr>
          <w:p w14:paraId="3BE267C5" w14:textId="7D07CCC0" w:rsidR="00150F0F" w:rsidRPr="00F1650F" w:rsidRDefault="00156355" w:rsidP="00150F0F">
            <w:pPr>
              <w:widowControl/>
              <w:autoSpaceDE/>
              <w:autoSpaceDN/>
              <w:jc w:val="center"/>
              <w:rPr>
                <w:rFonts w:ascii="Times New Roman" w:hAnsi="Times New Roman" w:cs="Times New Roman"/>
                <w:b/>
                <w:bCs/>
                <w:sz w:val="16"/>
                <w:szCs w:val="16"/>
                <w:lang w:val="en-IN" w:eastAsia="en-IN"/>
              </w:rPr>
            </w:pPr>
            <w:r w:rsidRPr="00F1650F">
              <w:rPr>
                <w:rFonts w:ascii="Times New Roman" w:hAnsi="Times New Roman" w:cs="Times New Roman"/>
                <w:b/>
                <w:bCs/>
                <w:sz w:val="16"/>
                <w:szCs w:val="16"/>
                <w:lang w:val="en-IN" w:eastAsia="en-IN"/>
              </w:rPr>
              <w:t>Accur</w:t>
            </w:r>
            <w:r>
              <w:rPr>
                <w:rFonts w:ascii="Times New Roman" w:hAnsi="Times New Roman" w:cs="Times New Roman"/>
                <w:b/>
                <w:bCs/>
                <w:sz w:val="16"/>
                <w:szCs w:val="16"/>
                <w:lang w:val="en-IN" w:eastAsia="en-IN"/>
              </w:rPr>
              <w:t>a</w:t>
            </w:r>
            <w:r w:rsidRPr="00F1650F">
              <w:rPr>
                <w:rFonts w:ascii="Times New Roman" w:hAnsi="Times New Roman" w:cs="Times New Roman"/>
                <w:b/>
                <w:bCs/>
                <w:sz w:val="16"/>
                <w:szCs w:val="16"/>
                <w:lang w:val="en-IN" w:eastAsia="en-IN"/>
              </w:rPr>
              <w:t>cy</w:t>
            </w:r>
            <w:r w:rsidR="00150F0F" w:rsidRPr="00F1650F">
              <w:rPr>
                <w:rFonts w:ascii="Times New Roman" w:hAnsi="Times New Roman" w:cs="Times New Roman"/>
                <w:b/>
                <w:bCs/>
                <w:sz w:val="16"/>
                <w:szCs w:val="16"/>
                <w:lang w:val="en-IN" w:eastAsia="en-IN"/>
              </w:rPr>
              <w:t xml:space="preserve"> (%)</w:t>
            </w:r>
          </w:p>
        </w:tc>
        <w:tc>
          <w:tcPr>
            <w:tcW w:w="634" w:type="dxa"/>
            <w:hideMark/>
          </w:tcPr>
          <w:p w14:paraId="77B3CFCC" w14:textId="1326B306" w:rsidR="00150F0F" w:rsidRPr="00F1650F" w:rsidRDefault="00150F0F" w:rsidP="00150F0F">
            <w:pPr>
              <w:widowControl/>
              <w:autoSpaceDE/>
              <w:autoSpaceDN/>
              <w:jc w:val="center"/>
              <w:rPr>
                <w:rFonts w:ascii="Times New Roman" w:hAnsi="Times New Roman" w:cs="Times New Roman"/>
                <w:b/>
                <w:bCs/>
                <w:sz w:val="16"/>
                <w:szCs w:val="16"/>
                <w:lang w:val="en-IN" w:eastAsia="en-IN"/>
              </w:rPr>
            </w:pPr>
            <w:r w:rsidRPr="00F1650F">
              <w:rPr>
                <w:rFonts w:ascii="Times New Roman" w:hAnsi="Times New Roman" w:cs="Times New Roman"/>
                <w:b/>
                <w:bCs/>
                <w:sz w:val="16"/>
                <w:szCs w:val="16"/>
                <w:lang w:val="en-IN" w:eastAsia="en-IN"/>
              </w:rPr>
              <w:t>KL Divergence</w:t>
            </w:r>
          </w:p>
        </w:tc>
      </w:tr>
      <w:tr w:rsidR="00150F0F" w:rsidRPr="00F1650F" w14:paraId="2F56F196" w14:textId="77777777" w:rsidTr="00D544B8">
        <w:trPr>
          <w:trHeight w:val="682"/>
        </w:trPr>
        <w:tc>
          <w:tcPr>
            <w:tcW w:w="496" w:type="dxa"/>
            <w:hideMark/>
          </w:tcPr>
          <w:p w14:paraId="1DD308CF" w14:textId="77777777" w:rsidR="00150F0F" w:rsidRPr="00F1650F" w:rsidRDefault="00150F0F" w:rsidP="00150F0F">
            <w:pPr>
              <w:widowControl/>
              <w:autoSpaceDE/>
              <w:autoSpaceDN/>
              <w:rPr>
                <w:rFonts w:ascii="Times New Roman" w:hAnsi="Times New Roman" w:cs="Times New Roman"/>
                <w:sz w:val="16"/>
                <w:szCs w:val="16"/>
                <w:lang w:val="en-IN" w:eastAsia="en-IN"/>
              </w:rPr>
            </w:pPr>
            <w:r w:rsidRPr="00F1650F">
              <w:rPr>
                <w:rFonts w:ascii="Times New Roman" w:hAnsi="Times New Roman" w:cs="Times New Roman"/>
                <w:sz w:val="16"/>
                <w:szCs w:val="16"/>
                <w:lang w:val="en-IN" w:eastAsia="en-IN"/>
              </w:rPr>
              <w:t>[6]</w:t>
            </w:r>
          </w:p>
        </w:tc>
        <w:tc>
          <w:tcPr>
            <w:tcW w:w="1016" w:type="dxa"/>
            <w:hideMark/>
          </w:tcPr>
          <w:p w14:paraId="4405BDF9"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Ganesan et al. (2024)</w:t>
            </w:r>
          </w:p>
        </w:tc>
        <w:tc>
          <w:tcPr>
            <w:tcW w:w="1182" w:type="dxa"/>
            <w:hideMark/>
          </w:tcPr>
          <w:p w14:paraId="2B55CBF4"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Transfer Learning (EfficientNet)</w:t>
            </w:r>
          </w:p>
        </w:tc>
        <w:tc>
          <w:tcPr>
            <w:tcW w:w="708" w:type="dxa"/>
            <w:hideMark/>
          </w:tcPr>
          <w:p w14:paraId="157E28F5"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HMS Spectrograms</w:t>
            </w:r>
          </w:p>
        </w:tc>
        <w:tc>
          <w:tcPr>
            <w:tcW w:w="709" w:type="dxa"/>
            <w:hideMark/>
          </w:tcPr>
          <w:p w14:paraId="23F60643"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~70</w:t>
            </w:r>
          </w:p>
        </w:tc>
        <w:tc>
          <w:tcPr>
            <w:tcW w:w="634" w:type="dxa"/>
            <w:hideMark/>
          </w:tcPr>
          <w:p w14:paraId="305B0837"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0.49</w:t>
            </w:r>
          </w:p>
        </w:tc>
      </w:tr>
      <w:tr w:rsidR="00150F0F" w:rsidRPr="00F1650F" w14:paraId="58ABEA01" w14:textId="77777777" w:rsidTr="00D544B8">
        <w:trPr>
          <w:trHeight w:val="692"/>
        </w:trPr>
        <w:tc>
          <w:tcPr>
            <w:tcW w:w="496" w:type="dxa"/>
            <w:hideMark/>
          </w:tcPr>
          <w:p w14:paraId="357EC589"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[7]</w:t>
            </w:r>
          </w:p>
        </w:tc>
        <w:tc>
          <w:tcPr>
            <w:tcW w:w="1016" w:type="dxa"/>
            <w:hideMark/>
          </w:tcPr>
          <w:p w14:paraId="5B6CDB87"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Habijan et al. (2024)</w:t>
            </w:r>
          </w:p>
        </w:tc>
        <w:tc>
          <w:tcPr>
            <w:tcW w:w="1182" w:type="dxa"/>
            <w:hideMark/>
          </w:tcPr>
          <w:p w14:paraId="7A2EC42C"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Ensemble DL (ResNet1D + GRU)</w:t>
            </w:r>
          </w:p>
        </w:tc>
        <w:tc>
          <w:tcPr>
            <w:tcW w:w="708" w:type="dxa"/>
            <w:hideMark/>
          </w:tcPr>
          <w:p w14:paraId="6F28CF08"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HMS EEG</w:t>
            </w:r>
          </w:p>
        </w:tc>
        <w:tc>
          <w:tcPr>
            <w:tcW w:w="709" w:type="dxa"/>
            <w:hideMark/>
          </w:tcPr>
          <w:p w14:paraId="0B9B5A46"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60–70</w:t>
            </w:r>
          </w:p>
        </w:tc>
        <w:tc>
          <w:tcPr>
            <w:tcW w:w="634" w:type="dxa"/>
            <w:hideMark/>
          </w:tcPr>
          <w:p w14:paraId="61E2E65A"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0.42</w:t>
            </w:r>
          </w:p>
        </w:tc>
      </w:tr>
      <w:tr w:rsidR="00150F0F" w:rsidRPr="00F1650F" w14:paraId="4BD4D34F" w14:textId="77777777" w:rsidTr="00D544B8">
        <w:trPr>
          <w:trHeight w:val="512"/>
        </w:trPr>
        <w:tc>
          <w:tcPr>
            <w:tcW w:w="496" w:type="dxa"/>
            <w:hideMark/>
          </w:tcPr>
          <w:p w14:paraId="563D0400"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[10]</w:t>
            </w:r>
          </w:p>
        </w:tc>
        <w:tc>
          <w:tcPr>
            <w:tcW w:w="1016" w:type="dxa"/>
            <w:hideMark/>
          </w:tcPr>
          <w:p w14:paraId="7DCF5375"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Kamble et al. (2024)</w:t>
            </w:r>
          </w:p>
        </w:tc>
        <w:tc>
          <w:tcPr>
            <w:tcW w:w="1182" w:type="dxa"/>
            <w:hideMark/>
          </w:tcPr>
          <w:p w14:paraId="15C19915"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Deep Learning Pipeline</w:t>
            </w:r>
          </w:p>
        </w:tc>
        <w:tc>
          <w:tcPr>
            <w:tcW w:w="708" w:type="dxa"/>
            <w:hideMark/>
          </w:tcPr>
          <w:p w14:paraId="3F1A6B8F"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HMS</w:t>
            </w:r>
          </w:p>
        </w:tc>
        <w:tc>
          <w:tcPr>
            <w:tcW w:w="709" w:type="dxa"/>
            <w:hideMark/>
          </w:tcPr>
          <w:p w14:paraId="739D17E0"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60–70</w:t>
            </w:r>
          </w:p>
        </w:tc>
        <w:tc>
          <w:tcPr>
            <w:tcW w:w="634" w:type="dxa"/>
            <w:hideMark/>
          </w:tcPr>
          <w:p w14:paraId="6CA9DECA"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0.55</w:t>
            </w:r>
          </w:p>
        </w:tc>
      </w:tr>
      <w:tr w:rsidR="00150F0F" w:rsidRPr="00F1650F" w14:paraId="1358AFC8" w14:textId="77777777" w:rsidTr="00D544B8">
        <w:trPr>
          <w:trHeight w:val="512"/>
        </w:trPr>
        <w:tc>
          <w:tcPr>
            <w:tcW w:w="496" w:type="dxa"/>
            <w:hideMark/>
          </w:tcPr>
          <w:p w14:paraId="3EBB5524"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[1]</w:t>
            </w:r>
          </w:p>
        </w:tc>
        <w:tc>
          <w:tcPr>
            <w:tcW w:w="1016" w:type="dxa"/>
            <w:hideMark/>
          </w:tcPr>
          <w:p w14:paraId="33BE1EF2"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Manikandan et al. (2024)</w:t>
            </w:r>
          </w:p>
        </w:tc>
        <w:tc>
          <w:tcPr>
            <w:tcW w:w="1182" w:type="dxa"/>
            <w:hideMark/>
          </w:tcPr>
          <w:p w14:paraId="1FB5EDBA"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Explainable CNN (XAI-GradCAM)</w:t>
            </w:r>
          </w:p>
        </w:tc>
        <w:tc>
          <w:tcPr>
            <w:tcW w:w="708" w:type="dxa"/>
            <w:hideMark/>
          </w:tcPr>
          <w:p w14:paraId="216DBACF"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HMS (Spectrogram)</w:t>
            </w:r>
          </w:p>
        </w:tc>
        <w:tc>
          <w:tcPr>
            <w:tcW w:w="709" w:type="dxa"/>
            <w:hideMark/>
          </w:tcPr>
          <w:p w14:paraId="09A4608F"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sz w:val="16"/>
                <w:szCs w:val="16"/>
              </w:rPr>
              <w:t>~75</w:t>
            </w:r>
          </w:p>
        </w:tc>
        <w:tc>
          <w:tcPr>
            <w:tcW w:w="634" w:type="dxa"/>
            <w:hideMark/>
          </w:tcPr>
          <w:p w14:paraId="0218FAC3"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0.39</w:t>
            </w:r>
          </w:p>
        </w:tc>
      </w:tr>
      <w:tr w:rsidR="00150F0F" w:rsidRPr="00F1650F" w14:paraId="6533FA65" w14:textId="77777777" w:rsidTr="00D544B8">
        <w:trPr>
          <w:trHeight w:val="512"/>
        </w:trPr>
        <w:tc>
          <w:tcPr>
            <w:tcW w:w="496" w:type="dxa"/>
            <w:hideMark/>
          </w:tcPr>
          <w:p w14:paraId="4C5C5430"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w:t>
            </w:r>
          </w:p>
        </w:tc>
        <w:tc>
          <w:tcPr>
            <w:tcW w:w="1016" w:type="dxa"/>
            <w:hideMark/>
          </w:tcPr>
          <w:p w14:paraId="0D169FB0"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Our work (2025)</w:t>
            </w:r>
          </w:p>
        </w:tc>
        <w:tc>
          <w:tcPr>
            <w:tcW w:w="1182" w:type="dxa"/>
            <w:hideMark/>
          </w:tcPr>
          <w:p w14:paraId="37F8EC25"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XGBoost (Tree Ensemble)</w:t>
            </w:r>
          </w:p>
        </w:tc>
        <w:tc>
          <w:tcPr>
            <w:tcW w:w="708" w:type="dxa"/>
            <w:hideMark/>
          </w:tcPr>
          <w:p w14:paraId="63880CAC"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HMS EEG</w:t>
            </w:r>
          </w:p>
        </w:tc>
        <w:tc>
          <w:tcPr>
            <w:tcW w:w="709" w:type="dxa"/>
            <w:hideMark/>
          </w:tcPr>
          <w:p w14:paraId="755B1C64" w14:textId="77777777"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93.14</w:t>
            </w:r>
          </w:p>
        </w:tc>
        <w:tc>
          <w:tcPr>
            <w:tcW w:w="634" w:type="dxa"/>
            <w:hideMark/>
          </w:tcPr>
          <w:p w14:paraId="435D1679" w14:textId="5C58A5D5" w:rsidR="00150F0F" w:rsidRPr="00F1650F" w:rsidRDefault="00150F0F" w:rsidP="00150F0F">
            <w:pPr>
              <w:rPr>
                <w:rFonts w:ascii="Times New Roman" w:hAnsi="Times New Roman" w:cs="Times New Roman"/>
                <w:sz w:val="16"/>
                <w:szCs w:val="16"/>
              </w:rPr>
            </w:pPr>
            <w:r w:rsidRPr="00F1650F">
              <w:rPr>
                <w:rFonts w:ascii="Times New Roman" w:hAnsi="Times New Roman" w:cs="Times New Roman"/>
                <w:b/>
                <w:bCs/>
                <w:sz w:val="16"/>
                <w:szCs w:val="16"/>
              </w:rPr>
              <w:t>0.257</w:t>
            </w:r>
          </w:p>
        </w:tc>
      </w:tr>
    </w:tbl>
    <w:p w14:paraId="3256B12B" w14:textId="77777777" w:rsidR="00827EF5" w:rsidRPr="00D45C13" w:rsidRDefault="00827EF5" w:rsidP="00D45C13">
      <w:pPr>
        <w:pStyle w:val="PARA"/>
        <w:jc w:val="left"/>
        <w:rPr>
          <w:i/>
          <w:iCs/>
          <w:lang w:val="en-IN"/>
        </w:rPr>
      </w:pPr>
    </w:p>
    <w:p w14:paraId="43E6869F" w14:textId="28B6837D" w:rsidR="00FE05FC" w:rsidRPr="00E91452" w:rsidRDefault="00FE05FC" w:rsidP="00FE05FC">
      <w:pPr>
        <w:pStyle w:val="H1"/>
      </w:pPr>
      <w:r>
        <w:t>VII</w:t>
      </w:r>
      <w:r w:rsidRPr="005C3955">
        <w:t>.</w:t>
      </w:r>
      <w:r>
        <w:rPr>
          <w:rFonts w:ascii="MS Gothic" w:eastAsia="MS Gothic" w:hAnsi="MS Gothic" w:cs="MS Gothic"/>
        </w:rPr>
        <w:t> </w:t>
      </w:r>
      <w:r>
        <w:t>CONCLUSION</w:t>
      </w:r>
    </w:p>
    <w:p w14:paraId="1C954126" w14:textId="77777777" w:rsidR="00FE05FC" w:rsidRPr="00FE05FC" w:rsidRDefault="00FE05FC" w:rsidP="00FE05FC">
      <w:pPr>
        <w:pStyle w:val="PARA"/>
        <w:rPr>
          <w:lang w:val="en-IN"/>
        </w:rPr>
      </w:pPr>
      <w:r w:rsidRPr="00FE05FC">
        <w:rPr>
          <w:lang w:val="en-IN"/>
        </w:rPr>
        <w:t>This work presents a unified, multi-model framework for classifying harmful brain activity using electroencephalographic (EEG) signals, designed specifically for application to real-world, noisy clinical data. Unlike prior studies that focused primarily on idealized datasets or single-model strategies, our approach systematically benchmarks a diverse suite of six models—ranging from classical machine learning algorithms such as Random Forest and Support Vector Machines, to advanced deep learning architectures including LSTM, ConvLSTM, and EfficientNet-based CNNs. This breadth of experimentation allows for rigorous cross-model evaluation in the context of the HMS Harmful Brain Activity dataset, a real-world clinical benchmark characterized by temporal uncertainty, label noise, and physiological variability.</w:t>
      </w:r>
    </w:p>
    <w:p w14:paraId="24F11DA2" w14:textId="77129A2E" w:rsidR="00FE05FC" w:rsidRPr="00FE05FC" w:rsidRDefault="00FE05FC" w:rsidP="00FE05FC">
      <w:pPr>
        <w:pStyle w:val="PARA"/>
        <w:rPr>
          <w:lang w:val="en-IN"/>
        </w:rPr>
      </w:pPr>
      <w:r w:rsidRPr="00FE05FC">
        <w:rPr>
          <w:lang w:val="en-IN"/>
        </w:rPr>
        <w:t xml:space="preserve">Our findings underscore several novel contributions. First, we demonstrate that tree-based models such as XGBoost can </w:t>
      </w:r>
      <w:r w:rsidRPr="00FE05FC">
        <w:rPr>
          <w:lang w:val="en-IN"/>
        </w:rPr>
        <w:t>effectively model non-linear relationships in high-dimensional EEG-derived feature spaces, achieving a validation accuracy of 93.14% with a low KL divergence of 0.257, thereby outperforming prior work on similar datasets [6], [7], [10]. Second, we show that temporal architectures, particularly ConvLSTM models, achieve a favourable balance between predictive accuracy and probabilistic calibration, outperforming standard LSTM baselines with a validation accuracy of 88.24% and KL divergence of 0.433. These improvements are attributed to the architectural ability of ConvLSTM to capture spatiotemporal dependencies in multichannel EEG data. Additionally, the inclusion of temperature scaling, dropout regularization, and label smoothing further enhances model generalization under distributional noise.</w:t>
      </w:r>
    </w:p>
    <w:p w14:paraId="510A86A0" w14:textId="77777777" w:rsidR="00FE05FC" w:rsidRPr="00FE05FC" w:rsidRDefault="00FE05FC" w:rsidP="00FE05FC">
      <w:pPr>
        <w:pStyle w:val="PARA"/>
        <w:rPr>
          <w:lang w:val="en-IN"/>
        </w:rPr>
      </w:pPr>
      <w:r w:rsidRPr="00FE05FC">
        <w:rPr>
          <w:lang w:val="en-IN"/>
        </w:rPr>
        <w:t>Compared to previous literature, which achieved accuracies of 60–70% on the HMS dataset using ensemble and hybrid pipelines [6], [8], [10], our framework offers significant performance gains through careful preprocessing, model-specific feature engineering, and training stability techniques. Furthermore, unlike traditional studies relying solely on handcrafted features or domain-specific priors [3], [4], [12], our models combine automated representation learning with interpretability (via feature importance and confusion matrices), offering a pathway toward clinically viable EEG-based diagnostic tools.</w:t>
      </w:r>
    </w:p>
    <w:p w14:paraId="1BDB7980" w14:textId="33DAE625" w:rsidR="00FE05FC" w:rsidRPr="00FE05FC" w:rsidRDefault="00FE05FC" w:rsidP="00FE05FC">
      <w:pPr>
        <w:pStyle w:val="PARA"/>
        <w:rPr>
          <w:lang w:val="en-IN"/>
        </w:rPr>
      </w:pPr>
      <w:r w:rsidRPr="00FE05FC">
        <w:rPr>
          <w:lang w:val="en-IN"/>
        </w:rPr>
        <w:t>In summary, this study bridges the gap between scalable machine learning and deep temporal modelling for EEG classification under challenging clinical conditions. By providing a detailed, reproducible evaluation across heterogeneous model classes, it establishes a robust baseline for future work in real-time neurodiagnostic pipelines. Future extensions may involve integration of multimodal physiological data, attention-based spatiotemporal encoding, and deployment in bedside monitoring systems.</w:t>
      </w:r>
    </w:p>
    <w:p w14:paraId="441C0C8D" w14:textId="53FD2C4F" w:rsidR="00FE05FC" w:rsidRPr="00E91452" w:rsidRDefault="00FE05FC" w:rsidP="00FE05FC">
      <w:pPr>
        <w:pStyle w:val="H1"/>
      </w:pPr>
      <w:r>
        <w:t>VIII</w:t>
      </w:r>
      <w:r w:rsidRPr="005C3955">
        <w:t>.</w:t>
      </w:r>
      <w:r>
        <w:rPr>
          <w:rFonts w:ascii="MS Gothic" w:eastAsia="MS Gothic" w:hAnsi="MS Gothic" w:cs="MS Gothic"/>
        </w:rPr>
        <w:t> </w:t>
      </w:r>
      <w:r>
        <w:t>FUTURE WORK</w:t>
      </w:r>
    </w:p>
    <w:p w14:paraId="3445AB35" w14:textId="73AFC7BB" w:rsidR="00DC2568" w:rsidRPr="00DC2568" w:rsidRDefault="00DC2568" w:rsidP="00DC2568">
      <w:pPr>
        <w:pStyle w:val="PARA"/>
        <w:rPr>
          <w:lang w:val="en-IN"/>
        </w:rPr>
      </w:pPr>
      <w:r w:rsidRPr="00DC2568">
        <w:rPr>
          <w:lang w:val="en-IN"/>
        </w:rPr>
        <w:t>While our study establishes strong baselines across diverse model families for EEG-based harmful brain activity classification, several limitations remain that open pathways for future enhancements. First, although our preprocessing pipeline addresses key sources of noise through filtering, normalization, and robust feature engineering, the models still rely heavily on hand-crafted statistical features for traditional classifiers. Incorporating more sophisticated unsupervised representation learning methods—such as variational autoencoders or contrastive learning on EEG sequences—could improve feature expressiveness, especially in data-sparse regimes. Second, although ConvLSTM models demonstrated superior performance relative to standard LSTM baselines, they still struggle with probabilistic calibration under noisy label distributions. This highlights a broader challenge in modelling expert uncertainty, which could be addressed through Bayesian deep learning or Monte Carlo dropout approaches in future work [10], [16].</w:t>
      </w:r>
    </w:p>
    <w:p w14:paraId="6FC5D1AA" w14:textId="1FE60A44" w:rsidR="00DC2568" w:rsidRPr="00DC2568" w:rsidRDefault="00DC2568" w:rsidP="00DC2568">
      <w:pPr>
        <w:pStyle w:val="PARA"/>
        <w:rPr>
          <w:lang w:val="en-IN"/>
        </w:rPr>
      </w:pPr>
      <w:r w:rsidRPr="00DC2568">
        <w:rPr>
          <w:lang w:val="en-IN"/>
        </w:rPr>
        <w:lastRenderedPageBreak/>
        <w:t>Moreover, while our ensemble includes diverse architectures, it employs a basic weighted averaging strategy. More sophisticated ensemble strategies such as stacking, gating mechanisms, or hierarchical attention-based fusion may further improve model robustness and generalization across patients, as demonstrated in recent ensemble frameworks [6], [7]. Incorporating additional modalities such as raw ECG signals, structured patient metadata, or clinical notes may also enable more context-aware classification models.</w:t>
      </w:r>
    </w:p>
    <w:p w14:paraId="1309568E" w14:textId="41205AE7" w:rsidR="00DC2568" w:rsidRPr="00DC2568" w:rsidRDefault="00DC2568" w:rsidP="00DC2568">
      <w:pPr>
        <w:pStyle w:val="PARA"/>
        <w:rPr>
          <w:lang w:val="en-IN"/>
        </w:rPr>
      </w:pPr>
      <w:r w:rsidRPr="00DC2568">
        <w:rPr>
          <w:lang w:val="en-IN"/>
        </w:rPr>
        <w:t>Another notable direction involves the use of attention-based transformers and spiking neural networks. Although we did not include them in our current benchmark due to computational constraints, prior work has shown their promise in modelling long-term temporal dependencies and neurobiological plausibility, respectively [10], [11]. Integration of such architectures, particularly in hybrid settings, could advance both interpretability and performance.</w:t>
      </w:r>
    </w:p>
    <w:p w14:paraId="684A395C" w14:textId="77777777" w:rsidR="00DC2568" w:rsidRPr="00DC2568" w:rsidRDefault="00DC2568" w:rsidP="00DC2568">
      <w:pPr>
        <w:pStyle w:val="PARA"/>
        <w:rPr>
          <w:lang w:val="en-IN"/>
        </w:rPr>
      </w:pPr>
      <w:r w:rsidRPr="00DC2568">
        <w:rPr>
          <w:lang w:val="en-IN"/>
        </w:rPr>
        <w:t>Lastly, despite high accuracy on validation sets, the real-world deployment of such systems necessitates rigorous testing under adversarial, cross-hospital, or out-of-distribution settings. Robustness to demographic variability, non-stationarity, and equipment heterogeneity must be addressed through domain adaptation or continual learning paradigms.</w:t>
      </w:r>
    </w:p>
    <w:p w14:paraId="02876BF9" w14:textId="01EA6C2D" w:rsidR="00DC2568" w:rsidRPr="00DC2568" w:rsidRDefault="00DC2568" w:rsidP="00DC2568">
      <w:pPr>
        <w:pStyle w:val="PARA"/>
        <w:rPr>
          <w:lang w:val="en-IN"/>
        </w:rPr>
      </w:pPr>
      <w:r w:rsidRPr="00DC2568">
        <w:rPr>
          <w:lang w:val="en-IN"/>
        </w:rPr>
        <w:t>In summary, while our models outperform many prior approaches in terms of classification accuracy and calibration on the HMS dataset [6], [7], [10], future work should focus on improving interpretability, calibration under soft labelling, and deployment readiness through multimodal fusion and advanced ensemble strategies. These directions hold promise for developing clinically trustworthy and scalable EEG monitoring systems.</w:t>
      </w:r>
    </w:p>
    <w:p w14:paraId="0C31A027" w14:textId="77777777" w:rsidR="000D412F" w:rsidRDefault="000D412F" w:rsidP="000D412F">
      <w:pPr>
        <w:pStyle w:val="H1"/>
        <w:spacing w:before="0"/>
      </w:pPr>
    </w:p>
    <w:p w14:paraId="1B856B28" w14:textId="6F5D8A9A" w:rsidR="000D412F" w:rsidRDefault="000D412F" w:rsidP="000D412F">
      <w:pPr>
        <w:pStyle w:val="H1"/>
        <w:spacing w:before="0"/>
      </w:pPr>
      <w:r>
        <w:t>ACKNOWLEDGMENT</w:t>
      </w:r>
    </w:p>
    <w:p w14:paraId="4AAE472D" w14:textId="77C2F8DA" w:rsidR="000D412F" w:rsidRPr="00C242F9" w:rsidRDefault="009B6EBD" w:rsidP="009B6EBD">
      <w:pPr>
        <w:pStyle w:val="H1"/>
        <w:spacing w:before="0"/>
        <w:jc w:val="both"/>
        <w:rPr>
          <w:rFonts w:ascii="Times New Roman" w:hAnsi="Times New Roman" w:cs="Times New Roman"/>
          <w:b w:val="0"/>
          <w:bCs w:val="0"/>
          <w:color w:val="auto"/>
          <w:sz w:val="20"/>
          <w:szCs w:val="20"/>
        </w:rPr>
      </w:pPr>
      <w:r w:rsidRPr="00C242F9">
        <w:rPr>
          <w:rFonts w:ascii="Times New Roman" w:hAnsi="Times New Roman" w:cs="Times New Roman"/>
          <w:b w:val="0"/>
          <w:bCs w:val="0"/>
          <w:color w:val="auto"/>
          <w:sz w:val="20"/>
          <w:szCs w:val="20"/>
        </w:rPr>
        <w:t xml:space="preserve">We would like to express our heartfelt gratitude to our project mentors, Dr. K. Viswavardhan Reddy and entire guidance team, for their invaluable guidance, constant support, and insightful feedback throughout the course of this work. Their expertise and encouragement were instrumental in shaping the direction and quality of our project. We extend our sincere thanks to Dr. B. Sathish Babu, Head of the Department of Artificial Intelligence and Machine Learning (AIML), RV College of Engineering, Bengaluru, for his unwavering support, leadership, and for fostering an environment conducive to research and innovation. Our appreciation also goes out to all the faculty members of the AIML department for their encouragement, constructive suggestions, and the academic foundation they provided, which played a crucial role in the successful completion of this project. We are grateful to the Department of AIML and RV College of Engineering for offering the infrastructure, resources, and facilities necessary for carrying out our research work. </w:t>
      </w:r>
    </w:p>
    <w:p w14:paraId="391C952E" w14:textId="142CA864" w:rsidR="00965E71" w:rsidRPr="0001799E" w:rsidRDefault="00965E71" w:rsidP="00965E71">
      <w:pPr>
        <w:pStyle w:val="H1"/>
      </w:pPr>
      <w:r w:rsidRPr="0001799E">
        <w:t>REFERENCES</w:t>
      </w:r>
    </w:p>
    <w:p w14:paraId="04FED5D4" w14:textId="77777777" w:rsidR="00B8716F" w:rsidRPr="00B8716F" w:rsidRDefault="00B8716F" w:rsidP="00B8716F">
      <w:pPr>
        <w:pStyle w:val="PARA"/>
        <w:rPr>
          <w:lang w:val="en-IN"/>
        </w:rPr>
      </w:pPr>
      <w:r w:rsidRPr="00B8716F">
        <w:rPr>
          <w:lang w:val="en-IN"/>
        </w:rPr>
        <w:t xml:space="preserve">[1] A. Manikandan, T. Sanjay, C. Nagandla, </w:t>
      </w:r>
      <w:r w:rsidRPr="00B8716F">
        <w:rPr>
          <w:i/>
          <w:iCs/>
          <w:lang w:val="en-IN"/>
        </w:rPr>
        <w:t>et al.</w:t>
      </w:r>
      <w:r w:rsidRPr="00B8716F">
        <w:rPr>
          <w:lang w:val="en-IN"/>
        </w:rPr>
        <w:t xml:space="preserve">, “Explainable classification of seizures and other patterns of </w:t>
      </w:r>
      <w:r w:rsidRPr="00B8716F">
        <w:rPr>
          <w:lang w:val="en-IN"/>
        </w:rPr>
        <w:t xml:space="preserve">harmful brain activity in critically ill patients,” </w:t>
      </w:r>
      <w:r w:rsidRPr="00B8716F">
        <w:rPr>
          <w:i/>
          <w:iCs/>
          <w:lang w:val="en-IN"/>
        </w:rPr>
        <w:t>preprint</w:t>
      </w:r>
      <w:r w:rsidRPr="00B8716F">
        <w:rPr>
          <w:lang w:val="en-IN"/>
        </w:rPr>
        <w:t xml:space="preserve">, Research Square, Jun. 2024. [Online]. Available: </w:t>
      </w:r>
      <w:hyperlink r:id="rId18" w:tgtFrame="_new" w:history="1">
        <w:r w:rsidRPr="00B8716F">
          <w:rPr>
            <w:rStyle w:val="Hyperlink"/>
            <w:lang w:val="en-IN"/>
          </w:rPr>
          <w:t>https://doi.org/10.21203/rs.3.rs-4508456/v1</w:t>
        </w:r>
      </w:hyperlink>
    </w:p>
    <w:p w14:paraId="3F5DEA33" w14:textId="77777777" w:rsidR="00B8716F" w:rsidRPr="00B8716F" w:rsidRDefault="00B8716F" w:rsidP="00B8716F">
      <w:pPr>
        <w:pStyle w:val="PARA"/>
        <w:rPr>
          <w:lang w:val="en-IN"/>
        </w:rPr>
      </w:pPr>
      <w:r w:rsidRPr="00B8716F">
        <w:rPr>
          <w:lang w:val="en-IN"/>
        </w:rPr>
        <w:t xml:space="preserve">[2] G. Bauer and E. Trinka, “Nonconvulsive status epilepticus and coma,” </w:t>
      </w:r>
      <w:r w:rsidRPr="00B8716F">
        <w:rPr>
          <w:i/>
          <w:iCs/>
          <w:lang w:val="en-IN"/>
        </w:rPr>
        <w:t>Epilepsia</w:t>
      </w:r>
      <w:r w:rsidRPr="00B8716F">
        <w:rPr>
          <w:lang w:val="en-IN"/>
        </w:rPr>
        <w:t xml:space="preserve">, vol. 51, no. 2, pp. 177–190, 2010. </w:t>
      </w:r>
      <w:hyperlink r:id="rId19" w:tgtFrame="_new" w:history="1">
        <w:r w:rsidRPr="00B8716F">
          <w:rPr>
            <w:rStyle w:val="Hyperlink"/>
            <w:lang w:val="en-IN"/>
          </w:rPr>
          <w:t>https://doi.org/10.1111/j.1528-1167.2009.02297.x</w:t>
        </w:r>
      </w:hyperlink>
    </w:p>
    <w:p w14:paraId="10EE8B9C" w14:textId="77777777" w:rsidR="00B8716F" w:rsidRPr="00B8716F" w:rsidRDefault="00B8716F" w:rsidP="00B8716F">
      <w:pPr>
        <w:pStyle w:val="PARA"/>
        <w:rPr>
          <w:lang w:val="en-IN"/>
        </w:rPr>
      </w:pPr>
      <w:r w:rsidRPr="00B8716F">
        <w:rPr>
          <w:lang w:val="en-IN"/>
        </w:rPr>
        <w:t xml:space="preserve">[3] M. H. Bhatti, J. Khan, M. U. G. Khan, R. Iqbal, M. Aloqaily, Y. Jararweh, and B. Gupta, “Soft computing-based EEG classification by optimal feature selection and neural networks,” </w:t>
      </w:r>
      <w:r w:rsidRPr="00B8716F">
        <w:rPr>
          <w:i/>
          <w:iCs/>
          <w:lang w:val="en-IN"/>
        </w:rPr>
        <w:t>IEEE Trans. Ind. Informat.</w:t>
      </w:r>
      <w:r w:rsidRPr="00B8716F">
        <w:rPr>
          <w:lang w:val="en-IN"/>
        </w:rPr>
        <w:t xml:space="preserve">, vol. 15, no. 10, pp. 5747–5754, Oct. 2019. </w:t>
      </w:r>
      <w:hyperlink r:id="rId20" w:tgtFrame="_new" w:history="1">
        <w:r w:rsidRPr="00B8716F">
          <w:rPr>
            <w:rStyle w:val="Hyperlink"/>
            <w:lang w:val="en-IN"/>
          </w:rPr>
          <w:t>https://doi.org/10.1109/TII.2019.2925624</w:t>
        </w:r>
      </w:hyperlink>
    </w:p>
    <w:p w14:paraId="2A6E946C" w14:textId="77777777" w:rsidR="00B8716F" w:rsidRPr="00B8716F" w:rsidRDefault="00B8716F" w:rsidP="00B8716F">
      <w:pPr>
        <w:pStyle w:val="PARA"/>
        <w:rPr>
          <w:lang w:val="en-IN"/>
        </w:rPr>
      </w:pPr>
      <w:r w:rsidRPr="00B8716F">
        <w:rPr>
          <w:lang w:val="en-IN"/>
        </w:rPr>
        <w:t xml:space="preserve">[4] S. S. Bhatti, A. Yadav, M. Monga, and N. Kumar, “Comparative analysis of deep learning approaches for harmful brain activity detection using EEG,” </w:t>
      </w:r>
      <w:r w:rsidRPr="00B8716F">
        <w:rPr>
          <w:i/>
          <w:iCs/>
          <w:lang w:val="en-IN"/>
        </w:rPr>
        <w:t>arXiv preprint</w:t>
      </w:r>
      <w:r w:rsidRPr="00B8716F">
        <w:rPr>
          <w:lang w:val="en-IN"/>
        </w:rPr>
        <w:t xml:space="preserve">, arXiv:2412.07878, 2024. [Online]. Available: </w:t>
      </w:r>
      <w:hyperlink r:id="rId21" w:tgtFrame="_new" w:history="1">
        <w:r w:rsidRPr="00B8716F">
          <w:rPr>
            <w:rStyle w:val="Hyperlink"/>
            <w:lang w:val="en-IN"/>
          </w:rPr>
          <w:t>http://arxiv.org/abs/2412.07878</w:t>
        </w:r>
      </w:hyperlink>
    </w:p>
    <w:p w14:paraId="6F40C847" w14:textId="77777777" w:rsidR="00B8716F" w:rsidRPr="00B8716F" w:rsidRDefault="00B8716F" w:rsidP="00B8716F">
      <w:pPr>
        <w:pStyle w:val="PARA"/>
        <w:rPr>
          <w:lang w:val="en-IN"/>
        </w:rPr>
      </w:pPr>
      <w:r w:rsidRPr="00B8716F">
        <w:rPr>
          <w:lang w:val="en-IN"/>
        </w:rPr>
        <w:t xml:space="preserve">[5] M. Coaster, B. P. Rogers, O. D. Jones, W. K. Viscusi, K. L. Merkle, D. H. Zald, and J. C. Gore, “Variables influencing the neural correlates of perceived risk of physical harm,” </w:t>
      </w:r>
      <w:r w:rsidRPr="00B8716F">
        <w:rPr>
          <w:i/>
          <w:iCs/>
          <w:lang w:val="en-IN"/>
        </w:rPr>
        <w:t>Cogn. Affect. Behav. Neurosci.</w:t>
      </w:r>
      <w:r w:rsidRPr="00B8716F">
        <w:rPr>
          <w:lang w:val="en-IN"/>
        </w:rPr>
        <w:t xml:space="preserve">, vol. 11, no. 4, pp. 494–507, 2011. </w:t>
      </w:r>
      <w:hyperlink r:id="rId22" w:tgtFrame="_new" w:history="1">
        <w:r w:rsidRPr="00B8716F">
          <w:rPr>
            <w:rStyle w:val="Hyperlink"/>
            <w:lang w:val="en-IN"/>
          </w:rPr>
          <w:t>https://doi.org/10.3758/s13415-011-0047-9</w:t>
        </w:r>
      </w:hyperlink>
    </w:p>
    <w:p w14:paraId="23502BDA" w14:textId="77777777" w:rsidR="00B8716F" w:rsidRPr="00B8716F" w:rsidRDefault="00B8716F" w:rsidP="00B8716F">
      <w:pPr>
        <w:pStyle w:val="PARA"/>
        <w:rPr>
          <w:lang w:val="en-IN"/>
        </w:rPr>
      </w:pPr>
      <w:r w:rsidRPr="00B8716F">
        <w:rPr>
          <w:lang w:val="en-IN"/>
        </w:rPr>
        <w:t xml:space="preserve">[6] S. Ganesan, Y. N. Kiran, and S. Ram, “Harmful brain activity classification of spectrograms with transfer deep learning,” </w:t>
      </w:r>
      <w:r w:rsidRPr="00B8716F">
        <w:rPr>
          <w:i/>
          <w:iCs/>
          <w:lang w:val="en-IN"/>
        </w:rPr>
        <w:t>preprint</w:t>
      </w:r>
      <w:r w:rsidRPr="00B8716F">
        <w:rPr>
          <w:lang w:val="en-IN"/>
        </w:rPr>
        <w:t xml:space="preserve">, Research Square, 2024. </w:t>
      </w:r>
      <w:hyperlink r:id="rId23" w:tgtFrame="_new" w:history="1">
        <w:r w:rsidRPr="00B8716F">
          <w:rPr>
            <w:rStyle w:val="Hyperlink"/>
            <w:lang w:val="en-IN"/>
          </w:rPr>
          <w:t>https://doi.org/10.21203/rs.3.rs-4294555/v2</w:t>
        </w:r>
      </w:hyperlink>
    </w:p>
    <w:p w14:paraId="55AF1EF0" w14:textId="77777777" w:rsidR="00B8716F" w:rsidRPr="00B8716F" w:rsidRDefault="00B8716F" w:rsidP="00B8716F">
      <w:pPr>
        <w:pStyle w:val="PARA"/>
        <w:rPr>
          <w:lang w:val="en-IN"/>
        </w:rPr>
      </w:pPr>
      <w:r w:rsidRPr="00B8716F">
        <w:rPr>
          <w:lang w:val="en-IN"/>
        </w:rPr>
        <w:t xml:space="preserve">[7] M. Habijan, R. Sojo, I. H. Tolic, and I. Galic, “Harmful brain activity classification using ensemble deep learning,” in </w:t>
      </w:r>
      <w:r w:rsidRPr="00B8716F">
        <w:rPr>
          <w:i/>
          <w:iCs/>
          <w:lang w:val="en-IN"/>
        </w:rPr>
        <w:t>Proc. Int. Symp. Electron. Mar. (ELMAR)</w:t>
      </w:r>
      <w:r w:rsidRPr="00B8716F">
        <w:rPr>
          <w:lang w:val="en-IN"/>
        </w:rPr>
        <w:t xml:space="preserve">, 2024, pp. 109–112. </w:t>
      </w:r>
      <w:hyperlink r:id="rId24" w:tgtFrame="_new" w:history="1">
        <w:r w:rsidRPr="00B8716F">
          <w:rPr>
            <w:rStyle w:val="Hyperlink"/>
            <w:lang w:val="en-IN"/>
          </w:rPr>
          <w:t>https://doi.org/10.1109/ELMAR62909.2024.10694603</w:t>
        </w:r>
      </w:hyperlink>
    </w:p>
    <w:p w14:paraId="3A42C7BC" w14:textId="77777777" w:rsidR="00B8716F" w:rsidRPr="00B8716F" w:rsidRDefault="00B8716F" w:rsidP="00B8716F">
      <w:pPr>
        <w:pStyle w:val="PARA"/>
        <w:rPr>
          <w:lang w:val="en-IN"/>
        </w:rPr>
      </w:pPr>
      <w:r w:rsidRPr="00B8716F">
        <w:rPr>
          <w:lang w:val="en-IN"/>
        </w:rPr>
        <w:t xml:space="preserve">[8] E. Hesse, E. Mikulan, J. Decety, M. Sigman, M. del Carmen Garcia, W. Silva, </w:t>
      </w:r>
      <w:r w:rsidRPr="00B8716F">
        <w:rPr>
          <w:i/>
          <w:iCs/>
          <w:lang w:val="en-IN"/>
        </w:rPr>
        <w:t>et al.</w:t>
      </w:r>
      <w:r w:rsidRPr="00B8716F">
        <w:rPr>
          <w:lang w:val="en-IN"/>
        </w:rPr>
        <w:t xml:space="preserve">, “Early detection of intentional harm in the human amygdala,” </w:t>
      </w:r>
      <w:r w:rsidRPr="00B8716F">
        <w:rPr>
          <w:i/>
          <w:iCs/>
          <w:lang w:val="en-IN"/>
        </w:rPr>
        <w:t>Brain</w:t>
      </w:r>
      <w:r w:rsidRPr="00B8716F">
        <w:rPr>
          <w:lang w:val="en-IN"/>
        </w:rPr>
        <w:t xml:space="preserve">, vol. 139, no. 1, pp. 54–61, 2016. </w:t>
      </w:r>
      <w:hyperlink r:id="rId25" w:tgtFrame="_new" w:history="1">
        <w:r w:rsidRPr="00B8716F">
          <w:rPr>
            <w:rStyle w:val="Hyperlink"/>
            <w:lang w:val="en-IN"/>
          </w:rPr>
          <w:t>https://doi.org/10.1093/brain/awv336</w:t>
        </w:r>
      </w:hyperlink>
    </w:p>
    <w:p w14:paraId="2EF55C60" w14:textId="77777777" w:rsidR="00B8716F" w:rsidRPr="00B8716F" w:rsidRDefault="00B8716F" w:rsidP="00B8716F">
      <w:pPr>
        <w:pStyle w:val="PARA"/>
        <w:rPr>
          <w:lang w:val="en-IN"/>
        </w:rPr>
      </w:pPr>
      <w:r w:rsidRPr="00B8716F">
        <w:rPr>
          <w:lang w:val="en-IN"/>
        </w:rPr>
        <w:t xml:space="preserve">[9] M. D. Javeed, R. Nagaraju, R. Chandrasekaran, G. Rajulu, P. Tumuluru, M. Ramesh, S. K. Suman, and R. Shrivastava, “Brain tumor segmentation and classification with hybrid clustering, probabilistic neural networks,” </w:t>
      </w:r>
      <w:r w:rsidRPr="00B8716F">
        <w:rPr>
          <w:i/>
          <w:iCs/>
          <w:lang w:val="en-IN"/>
        </w:rPr>
        <w:t>J. Intell. Fuzzy Syst.</w:t>
      </w:r>
      <w:r w:rsidRPr="00B8716F">
        <w:rPr>
          <w:lang w:val="en-IN"/>
        </w:rPr>
        <w:t xml:space="preserve">, vol. 45, no. 4, pp. 6485–6500, 2023. </w:t>
      </w:r>
      <w:hyperlink r:id="rId26" w:tgtFrame="_new" w:history="1">
        <w:r w:rsidRPr="00B8716F">
          <w:rPr>
            <w:rStyle w:val="Hyperlink"/>
            <w:lang w:val="en-IN"/>
          </w:rPr>
          <w:t>https://doi.org/10.3233/JIFS-232493</w:t>
        </w:r>
      </w:hyperlink>
    </w:p>
    <w:p w14:paraId="15E5A9FE" w14:textId="77777777" w:rsidR="00B8716F" w:rsidRPr="00B8716F" w:rsidRDefault="00B8716F" w:rsidP="00B8716F">
      <w:pPr>
        <w:pStyle w:val="PARA"/>
        <w:rPr>
          <w:lang w:val="en-IN"/>
        </w:rPr>
      </w:pPr>
      <w:r w:rsidRPr="00B8716F">
        <w:rPr>
          <w:lang w:val="en-IN"/>
        </w:rPr>
        <w:t xml:space="preserve">[10] S. Kamble, D. Mahale, V. Vedpathak, P. Rathod, and Y. Sharma, “Harmful brain activity classification using EEG signals,” in </w:t>
      </w:r>
      <w:r w:rsidRPr="00B8716F">
        <w:rPr>
          <w:i/>
          <w:iCs/>
          <w:lang w:val="en-IN"/>
        </w:rPr>
        <w:t>Proc. IEEE Int. Conf. Blockchain Distrib. Syst. Secur. (ICBDS)</w:t>
      </w:r>
      <w:r w:rsidRPr="00B8716F">
        <w:rPr>
          <w:lang w:val="en-IN"/>
        </w:rPr>
        <w:t xml:space="preserve">, 2024. </w:t>
      </w:r>
      <w:hyperlink r:id="rId27" w:tgtFrame="_new" w:history="1">
        <w:r w:rsidRPr="00B8716F">
          <w:rPr>
            <w:rStyle w:val="Hyperlink"/>
            <w:lang w:val="en-IN"/>
          </w:rPr>
          <w:t>https://doi.org/10.1109/ICBDS61829.2024.10837510</w:t>
        </w:r>
      </w:hyperlink>
    </w:p>
    <w:p w14:paraId="26B723F5" w14:textId="77777777" w:rsidR="00B8716F" w:rsidRPr="00B8716F" w:rsidRDefault="00B8716F" w:rsidP="00B8716F">
      <w:pPr>
        <w:pStyle w:val="PARA"/>
        <w:rPr>
          <w:lang w:val="en-IN"/>
        </w:rPr>
      </w:pPr>
      <w:r w:rsidRPr="00B8716F">
        <w:rPr>
          <w:lang w:val="en-IN"/>
        </w:rPr>
        <w:t xml:space="preserve">[11] N. K. Kasabov, “NeuCube: A spiking neural network architecture for mapping, learning and understanding of spatio-temporal brain data,” </w:t>
      </w:r>
      <w:r w:rsidRPr="00B8716F">
        <w:rPr>
          <w:i/>
          <w:iCs/>
          <w:lang w:val="en-IN"/>
        </w:rPr>
        <w:t>Neural Netw.</w:t>
      </w:r>
      <w:r w:rsidRPr="00B8716F">
        <w:rPr>
          <w:lang w:val="en-IN"/>
        </w:rPr>
        <w:t xml:space="preserve">, vol. 52, pp. 62–76, Jan. 2014. </w:t>
      </w:r>
      <w:hyperlink r:id="rId28" w:tgtFrame="_new" w:history="1">
        <w:r w:rsidRPr="00B8716F">
          <w:rPr>
            <w:rStyle w:val="Hyperlink"/>
            <w:lang w:val="en-IN"/>
          </w:rPr>
          <w:t>https://doi.org/10.1016/j.neunet.2014.01.006</w:t>
        </w:r>
      </w:hyperlink>
    </w:p>
    <w:p w14:paraId="5AEB27B3" w14:textId="77777777" w:rsidR="00B8716F" w:rsidRPr="00B8716F" w:rsidRDefault="00B8716F" w:rsidP="00B8716F">
      <w:pPr>
        <w:pStyle w:val="PARA"/>
        <w:rPr>
          <w:lang w:val="en-IN"/>
        </w:rPr>
      </w:pPr>
      <w:r w:rsidRPr="00B8716F">
        <w:rPr>
          <w:lang w:val="en-IN"/>
        </w:rPr>
        <w:t xml:space="preserve">[12] S. Lahmiri and A. Shmuel, “Accurate classification of seizure and seizure-free intervals of intracranial EEG signals from epileptic patients,” </w:t>
      </w:r>
      <w:r w:rsidRPr="00B8716F">
        <w:rPr>
          <w:i/>
          <w:iCs/>
          <w:lang w:val="en-IN"/>
        </w:rPr>
        <w:t>IEEE Trans. Instrum. Meas.</w:t>
      </w:r>
      <w:r w:rsidRPr="00B8716F">
        <w:rPr>
          <w:lang w:val="en-IN"/>
        </w:rPr>
        <w:t xml:space="preserve">, vol. 68, no. 3, pp. 791–796, Mar. 2019. </w:t>
      </w:r>
      <w:hyperlink r:id="rId29" w:tgtFrame="_new" w:history="1">
        <w:r w:rsidRPr="00B8716F">
          <w:rPr>
            <w:rStyle w:val="Hyperlink"/>
            <w:lang w:val="en-IN"/>
          </w:rPr>
          <w:t>https://doi.org/10.1109/TIM.2018.2855518</w:t>
        </w:r>
      </w:hyperlink>
    </w:p>
    <w:p w14:paraId="0A5ED2A0" w14:textId="77777777" w:rsidR="00B8716F" w:rsidRPr="00B8716F" w:rsidRDefault="00B8716F" w:rsidP="00B8716F">
      <w:pPr>
        <w:pStyle w:val="PARA"/>
        <w:rPr>
          <w:lang w:val="en-IN"/>
        </w:rPr>
      </w:pPr>
      <w:r w:rsidRPr="00B8716F">
        <w:rPr>
          <w:lang w:val="en-IN"/>
        </w:rPr>
        <w:lastRenderedPageBreak/>
        <w:t xml:space="preserve">[13] K. H. Lee, G. Pluck, N. Lekka, A. Horton, I. D. Wilkinson, and P. W. R. Woodruff, “Self-harm in schizophrenia is associated with dorsolateral prefrontal and posterior cingulate activity,” </w:t>
      </w:r>
      <w:r w:rsidRPr="00B8716F">
        <w:rPr>
          <w:i/>
          <w:iCs/>
          <w:lang w:val="en-IN"/>
        </w:rPr>
        <w:t>Prog. Neuropsychopharmacol. Biol. Psychiatry</w:t>
      </w:r>
      <w:r w:rsidRPr="00B8716F">
        <w:rPr>
          <w:lang w:val="en-IN"/>
        </w:rPr>
        <w:t xml:space="preserve">, vol. 61, pp. 18–23, 2015. </w:t>
      </w:r>
      <w:hyperlink r:id="rId30" w:tgtFrame="_new" w:history="1">
        <w:r w:rsidRPr="00B8716F">
          <w:rPr>
            <w:rStyle w:val="Hyperlink"/>
            <w:lang w:val="en-IN"/>
          </w:rPr>
          <w:t>https://doi.org/10.1016/j.pnpbp.2015.03.005</w:t>
        </w:r>
      </w:hyperlink>
    </w:p>
    <w:p w14:paraId="72C2FA5F" w14:textId="77777777" w:rsidR="00B8716F" w:rsidRPr="00B8716F" w:rsidRDefault="00B8716F" w:rsidP="00B8716F">
      <w:pPr>
        <w:pStyle w:val="PARA"/>
        <w:rPr>
          <w:lang w:val="en-IN"/>
        </w:rPr>
      </w:pPr>
      <w:r w:rsidRPr="00B8716F">
        <w:rPr>
          <w:lang w:val="en-IN"/>
        </w:rPr>
        <w:t xml:space="preserve">[14] G. 3-A. Lodha, J. Agrawal, N. Goyal, and P. Rastogi, “Harmful brain activity classification: Classifying seizures and other patterns of harmful brain activity in critically ill patients,” </w:t>
      </w:r>
      <w:r w:rsidRPr="00B8716F">
        <w:rPr>
          <w:i/>
          <w:iCs/>
          <w:lang w:val="en-IN"/>
        </w:rPr>
        <w:t>preprint</w:t>
      </w:r>
      <w:r w:rsidRPr="00B8716F">
        <w:rPr>
          <w:lang w:val="en-IN"/>
        </w:rPr>
        <w:t xml:space="preserve">. [Online]. Available: </w:t>
      </w:r>
      <w:hyperlink r:id="rId31" w:tgtFrame="_new" w:history="1">
        <w:r w:rsidRPr="00B8716F">
          <w:rPr>
            <w:rStyle w:val="Hyperlink"/>
            <w:lang w:val="en-IN"/>
          </w:rPr>
          <w:t>https://doi.org/10.15496/publikation-37739</w:t>
        </w:r>
      </w:hyperlink>
    </w:p>
    <w:p w14:paraId="3D0BFBD5" w14:textId="77777777" w:rsidR="00B8716F" w:rsidRPr="00B8716F" w:rsidRDefault="00B8716F" w:rsidP="00B8716F">
      <w:pPr>
        <w:pStyle w:val="PARA"/>
        <w:rPr>
          <w:lang w:val="en-IN"/>
        </w:rPr>
      </w:pPr>
      <w:r w:rsidRPr="00B8716F">
        <w:rPr>
          <w:lang w:val="en-IN"/>
        </w:rPr>
        <w:t xml:space="preserve">[15] R. A. Poldrack, Y. O. Halchenko, and S. J. Hanson, “Decoding the large-scale structure of brain function by classifying mental states across individuals,” </w:t>
      </w:r>
      <w:r w:rsidRPr="00B8716F">
        <w:rPr>
          <w:i/>
          <w:iCs/>
          <w:lang w:val="en-IN"/>
        </w:rPr>
        <w:t>Psychol. Sci.</w:t>
      </w:r>
      <w:r w:rsidRPr="00B8716F">
        <w:rPr>
          <w:lang w:val="en-IN"/>
        </w:rPr>
        <w:t xml:space="preserve">, vol. 20, no. 11, pp. 1364–1372, 2009. </w:t>
      </w:r>
      <w:hyperlink r:id="rId32" w:tgtFrame="_new" w:history="1">
        <w:r w:rsidRPr="00B8716F">
          <w:rPr>
            <w:rStyle w:val="Hyperlink"/>
            <w:lang w:val="en-IN"/>
          </w:rPr>
          <w:t>https://doi.org/10.1111/j.1467-9280.2009.02460.x</w:t>
        </w:r>
      </w:hyperlink>
    </w:p>
    <w:p w14:paraId="0FC8F4D2" w14:textId="77777777" w:rsidR="00B8716F" w:rsidRPr="00B8716F" w:rsidRDefault="00B8716F" w:rsidP="00B8716F">
      <w:pPr>
        <w:pStyle w:val="PARA"/>
        <w:rPr>
          <w:lang w:val="en-IN"/>
        </w:rPr>
      </w:pPr>
      <w:r w:rsidRPr="00B8716F">
        <w:rPr>
          <w:lang w:val="en-IN"/>
        </w:rPr>
        <w:t xml:space="preserve">[16] S. Ram, S. Ganesan, and Y. N. Kiran, “Harmful brain activity classification of spectrograms with transfer deep learning,” in </w:t>
      </w:r>
      <w:r w:rsidRPr="00B8716F">
        <w:rPr>
          <w:i/>
          <w:iCs/>
          <w:lang w:val="en-IN"/>
        </w:rPr>
        <w:t>Proc. IEEE Int. Conf. Multimedia Inf. Process. Retrieval (MIPR)</w:t>
      </w:r>
      <w:r w:rsidRPr="00B8716F">
        <w:rPr>
          <w:lang w:val="en-IN"/>
        </w:rPr>
        <w:t xml:space="preserve">, 2024, pp. 499–502. </w:t>
      </w:r>
      <w:hyperlink r:id="rId33" w:tgtFrame="_new" w:history="1">
        <w:r w:rsidRPr="00B8716F">
          <w:rPr>
            <w:rStyle w:val="Hyperlink"/>
            <w:lang w:val="en-IN"/>
          </w:rPr>
          <w:t>https://doi.org/10.1109/MIPR62202.2024.00085</w:t>
        </w:r>
      </w:hyperlink>
    </w:p>
    <w:p w14:paraId="2B64D8FC" w14:textId="77777777" w:rsidR="00B8716F" w:rsidRPr="00B8716F" w:rsidRDefault="00B8716F" w:rsidP="00B8716F">
      <w:pPr>
        <w:pStyle w:val="PARA"/>
        <w:rPr>
          <w:lang w:val="en-IN"/>
        </w:rPr>
      </w:pPr>
      <w:r w:rsidRPr="00B8716F">
        <w:rPr>
          <w:lang w:val="en-IN"/>
        </w:rPr>
        <w:t xml:space="preserve">[17] T. Sadad, A. Rehman, A. Munir, T. Saba, U. Tariq, N. Ayesha, and R. Abbasi, “Brain tumor detection and multi-classification using advanced deep learning techniques,” </w:t>
      </w:r>
      <w:r w:rsidRPr="00B8716F">
        <w:rPr>
          <w:i/>
          <w:iCs/>
          <w:lang w:val="en-IN"/>
        </w:rPr>
        <w:t>Microsc. Res. Tech.</w:t>
      </w:r>
      <w:r w:rsidRPr="00B8716F">
        <w:rPr>
          <w:lang w:val="en-IN"/>
        </w:rPr>
        <w:t xml:space="preserve">, vol. 84, no. 6, pp. 1296–1308, Jun. 2021. </w:t>
      </w:r>
      <w:hyperlink r:id="rId34" w:tgtFrame="_new" w:history="1">
        <w:r w:rsidRPr="00B8716F">
          <w:rPr>
            <w:rStyle w:val="Hyperlink"/>
            <w:lang w:val="en-IN"/>
          </w:rPr>
          <w:t>https://doi.org/10.1002/jemt.23688</w:t>
        </w:r>
      </w:hyperlink>
    </w:p>
    <w:p w14:paraId="56E4F3F8" w14:textId="77777777" w:rsidR="00B8716F" w:rsidRPr="00B8716F" w:rsidRDefault="00B8716F" w:rsidP="00B8716F">
      <w:pPr>
        <w:pStyle w:val="PARA"/>
        <w:rPr>
          <w:lang w:val="en-IN"/>
        </w:rPr>
      </w:pPr>
      <w:r w:rsidRPr="00B8716F">
        <w:rPr>
          <w:lang w:val="en-IN"/>
        </w:rPr>
        <w:t xml:space="preserve">[18] L. Tsoi, J. A. Dungan, A. Chakroff, and L. L. Young, “Neural substrates for moral judgments of psychological versus physical harm,” </w:t>
      </w:r>
      <w:r w:rsidRPr="00B8716F">
        <w:rPr>
          <w:i/>
          <w:iCs/>
          <w:lang w:val="en-IN"/>
        </w:rPr>
        <w:t>Soc. Cogn. Affect. Neurosci.</w:t>
      </w:r>
      <w:r w:rsidRPr="00B8716F">
        <w:rPr>
          <w:lang w:val="en-IN"/>
        </w:rPr>
        <w:t xml:space="preserve">, vol. 13, no. 5, pp. 460–470, 2018. </w:t>
      </w:r>
      <w:hyperlink r:id="rId35" w:tgtFrame="_new" w:history="1">
        <w:r w:rsidRPr="00B8716F">
          <w:rPr>
            <w:rStyle w:val="Hyperlink"/>
            <w:lang w:val="en-IN"/>
          </w:rPr>
          <w:t>https://doi.org/10.1093/scan/nsy029</w:t>
        </w:r>
      </w:hyperlink>
    </w:p>
    <w:p w14:paraId="0920676F" w14:textId="77777777" w:rsidR="00B8716F" w:rsidRDefault="00B8716F" w:rsidP="008F2FB3">
      <w:pPr>
        <w:pStyle w:val="PARA"/>
      </w:pPr>
    </w:p>
    <w:p w14:paraId="64B765AE" w14:textId="2845E2D6" w:rsidR="0001799E" w:rsidRPr="0001799E" w:rsidRDefault="0001799E" w:rsidP="00B8716F">
      <w:pPr>
        <w:pStyle w:val="References"/>
        <w:numPr>
          <w:ilvl w:val="0"/>
          <w:numId w:val="0"/>
        </w:numPr>
        <w:ind w:left="1170" w:hanging="360"/>
      </w:pPr>
      <w:r w:rsidRPr="0001799E">
        <w:t>. </w:t>
      </w:r>
    </w:p>
    <w:p w14:paraId="32214105" w14:textId="77777777" w:rsidR="0003253A" w:rsidRPr="006A0B53" w:rsidRDefault="0003253A" w:rsidP="0003253A">
      <w:pPr>
        <w:pStyle w:val="AUBiosNoSpace"/>
        <w:ind w:firstLine="0"/>
      </w:pPr>
    </w:p>
    <w:sectPr w:rsidR="0003253A" w:rsidRPr="006A0B53" w:rsidSect="00422716">
      <w:footerReference w:type="default" r:id="rId36"/>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F78F6" w14:textId="77777777" w:rsidR="00C14165" w:rsidRDefault="00C14165">
      <w:r>
        <w:separator/>
      </w:r>
    </w:p>
  </w:endnote>
  <w:endnote w:type="continuationSeparator" w:id="0">
    <w:p w14:paraId="5E63D539" w14:textId="77777777" w:rsidR="00C14165" w:rsidRDefault="00C14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CF8FF" w14:textId="77777777"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6AD93"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E6B4A" w14:textId="77777777" w:rsidR="00C14165" w:rsidRDefault="00C14165">
      <w:r>
        <w:separator/>
      </w:r>
    </w:p>
  </w:footnote>
  <w:footnote w:type="continuationSeparator" w:id="0">
    <w:p w14:paraId="68F4CB37" w14:textId="77777777" w:rsidR="00C14165" w:rsidRDefault="00C14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2433D" w14:textId="3A09CE6A" w:rsidR="0001799E" w:rsidRPr="00E721A9" w:rsidRDefault="00C41F0F" w:rsidP="00E721A9">
    <w:pPr>
      <w:pStyle w:val="Header"/>
      <w:pBdr>
        <w:bottom w:val="single" w:sz="4" w:space="3" w:color="auto"/>
      </w:pBdr>
      <w:tabs>
        <w:tab w:val="clear" w:pos="4320"/>
        <w:tab w:val="left" w:pos="5532"/>
      </w:tabs>
      <w:jc w:val="right"/>
      <w:rPr>
        <w:rFonts w:ascii="Formata OTF" w:hAnsi="Formata OTF"/>
        <w:sz w:val="14"/>
        <w:szCs w:val="14"/>
      </w:rPr>
    </w:pPr>
    <w:r w:rsidRPr="00E721A9">
      <w:rPr>
        <w:rFonts w:ascii="Formata OTF" w:hAnsi="Formata OTF"/>
        <w:noProof/>
        <w:sz w:val="14"/>
        <w:szCs w:val="14"/>
      </w:rPr>
      <w:drawing>
        <wp:inline distT="0" distB="0" distL="0" distR="0" wp14:anchorId="5A182A6B" wp14:editId="605BBA60">
          <wp:extent cx="1169035" cy="2952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35" cy="295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num w:numId="1" w16cid:durableId="1449394186">
    <w:abstractNumId w:val="9"/>
  </w:num>
  <w:num w:numId="2" w16cid:durableId="1001158703">
    <w:abstractNumId w:val="7"/>
  </w:num>
  <w:num w:numId="3" w16cid:durableId="132646624">
    <w:abstractNumId w:val="6"/>
  </w:num>
  <w:num w:numId="4" w16cid:durableId="2067098826">
    <w:abstractNumId w:val="5"/>
  </w:num>
  <w:num w:numId="5" w16cid:durableId="1415780597">
    <w:abstractNumId w:val="4"/>
  </w:num>
  <w:num w:numId="6" w16cid:durableId="869606517">
    <w:abstractNumId w:val="8"/>
  </w:num>
  <w:num w:numId="7" w16cid:durableId="1209991242">
    <w:abstractNumId w:val="3"/>
  </w:num>
  <w:num w:numId="8" w16cid:durableId="1296527451">
    <w:abstractNumId w:val="2"/>
  </w:num>
  <w:num w:numId="9" w16cid:durableId="329261772">
    <w:abstractNumId w:val="1"/>
  </w:num>
  <w:num w:numId="10" w16cid:durableId="790586016">
    <w:abstractNumId w:val="0"/>
  </w:num>
  <w:num w:numId="11" w16cid:durableId="1510172620">
    <w:abstractNumId w:val="10"/>
  </w:num>
  <w:num w:numId="12" w16cid:durableId="1331368130">
    <w:abstractNumId w:val="13"/>
    <w:lvlOverride w:ilvl="0">
      <w:lvl w:ilvl="0">
        <w:start w:val="1"/>
        <w:numFmt w:val="decimal"/>
        <w:lvlText w:val="%1."/>
        <w:legacy w:legacy="1" w:legacySpace="0" w:legacyIndent="360"/>
        <w:lvlJc w:val="left"/>
        <w:pPr>
          <w:ind w:left="360" w:hanging="360"/>
        </w:pPr>
      </w:lvl>
    </w:lvlOverride>
  </w:num>
  <w:num w:numId="13" w16cid:durableId="280380364">
    <w:abstractNumId w:val="11"/>
  </w:num>
  <w:num w:numId="14" w16cid:durableId="576088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15E73"/>
    <w:rsid w:val="00015E9A"/>
    <w:rsid w:val="0001799E"/>
    <w:rsid w:val="00017C56"/>
    <w:rsid w:val="00021C67"/>
    <w:rsid w:val="00023D75"/>
    <w:rsid w:val="00024A01"/>
    <w:rsid w:val="00027AA1"/>
    <w:rsid w:val="0003253A"/>
    <w:rsid w:val="00033D56"/>
    <w:rsid w:val="00034A7F"/>
    <w:rsid w:val="00035315"/>
    <w:rsid w:val="00041819"/>
    <w:rsid w:val="00043A88"/>
    <w:rsid w:val="000518DD"/>
    <w:rsid w:val="00052666"/>
    <w:rsid w:val="00052968"/>
    <w:rsid w:val="00057E9A"/>
    <w:rsid w:val="00060D60"/>
    <w:rsid w:val="00061511"/>
    <w:rsid w:val="00061B24"/>
    <w:rsid w:val="00065CD5"/>
    <w:rsid w:val="000714C3"/>
    <w:rsid w:val="00080A8A"/>
    <w:rsid w:val="00081023"/>
    <w:rsid w:val="00082DE0"/>
    <w:rsid w:val="00083EC4"/>
    <w:rsid w:val="00084BD2"/>
    <w:rsid w:val="00090E84"/>
    <w:rsid w:val="00091F92"/>
    <w:rsid w:val="00092C74"/>
    <w:rsid w:val="0009467B"/>
    <w:rsid w:val="00094BAA"/>
    <w:rsid w:val="000A1FA2"/>
    <w:rsid w:val="000A3B16"/>
    <w:rsid w:val="000A40E6"/>
    <w:rsid w:val="000B1F85"/>
    <w:rsid w:val="000B2C18"/>
    <w:rsid w:val="000B330B"/>
    <w:rsid w:val="000B7135"/>
    <w:rsid w:val="000C01F4"/>
    <w:rsid w:val="000C0E3B"/>
    <w:rsid w:val="000C221B"/>
    <w:rsid w:val="000D0240"/>
    <w:rsid w:val="000D3A5A"/>
    <w:rsid w:val="000D412F"/>
    <w:rsid w:val="000D4A20"/>
    <w:rsid w:val="000D5BA0"/>
    <w:rsid w:val="000E403A"/>
    <w:rsid w:val="000E4447"/>
    <w:rsid w:val="000E6B80"/>
    <w:rsid w:val="000F25D7"/>
    <w:rsid w:val="000F524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036"/>
    <w:rsid w:val="00141D98"/>
    <w:rsid w:val="00150F0F"/>
    <w:rsid w:val="00156355"/>
    <w:rsid w:val="0016308D"/>
    <w:rsid w:val="00164873"/>
    <w:rsid w:val="001661D9"/>
    <w:rsid w:val="00166BEA"/>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C6EE9"/>
    <w:rsid w:val="001D0247"/>
    <w:rsid w:val="001D3924"/>
    <w:rsid w:val="001D3AED"/>
    <w:rsid w:val="001D4C0D"/>
    <w:rsid w:val="001D5163"/>
    <w:rsid w:val="001D5407"/>
    <w:rsid w:val="001D6F48"/>
    <w:rsid w:val="001E3E87"/>
    <w:rsid w:val="001E3EBE"/>
    <w:rsid w:val="001E4698"/>
    <w:rsid w:val="001E69B5"/>
    <w:rsid w:val="001E6A66"/>
    <w:rsid w:val="001E6CFA"/>
    <w:rsid w:val="001F0601"/>
    <w:rsid w:val="001F4FA0"/>
    <w:rsid w:val="001F73C8"/>
    <w:rsid w:val="00201A76"/>
    <w:rsid w:val="00205C43"/>
    <w:rsid w:val="00207411"/>
    <w:rsid w:val="00210E41"/>
    <w:rsid w:val="00211824"/>
    <w:rsid w:val="00215F8D"/>
    <w:rsid w:val="00216230"/>
    <w:rsid w:val="002170E6"/>
    <w:rsid w:val="00220965"/>
    <w:rsid w:val="00223B9B"/>
    <w:rsid w:val="00224AB4"/>
    <w:rsid w:val="00227DAA"/>
    <w:rsid w:val="00231E14"/>
    <w:rsid w:val="0024093D"/>
    <w:rsid w:val="00241628"/>
    <w:rsid w:val="00242C14"/>
    <w:rsid w:val="002467D5"/>
    <w:rsid w:val="00252416"/>
    <w:rsid w:val="00253CFC"/>
    <w:rsid w:val="002560D8"/>
    <w:rsid w:val="00275282"/>
    <w:rsid w:val="00281FB8"/>
    <w:rsid w:val="0028303E"/>
    <w:rsid w:val="00283596"/>
    <w:rsid w:val="00285B40"/>
    <w:rsid w:val="00285DD4"/>
    <w:rsid w:val="002900FB"/>
    <w:rsid w:val="00295093"/>
    <w:rsid w:val="002967D4"/>
    <w:rsid w:val="002A000F"/>
    <w:rsid w:val="002A048A"/>
    <w:rsid w:val="002A14BA"/>
    <w:rsid w:val="002A3234"/>
    <w:rsid w:val="002A486E"/>
    <w:rsid w:val="002B17AE"/>
    <w:rsid w:val="002B379B"/>
    <w:rsid w:val="002B5DFD"/>
    <w:rsid w:val="002B62BC"/>
    <w:rsid w:val="002B7F19"/>
    <w:rsid w:val="002C2CCF"/>
    <w:rsid w:val="002C419A"/>
    <w:rsid w:val="002C707C"/>
    <w:rsid w:val="002D11FD"/>
    <w:rsid w:val="002D26B0"/>
    <w:rsid w:val="002D26D6"/>
    <w:rsid w:val="002D3E91"/>
    <w:rsid w:val="002D4A44"/>
    <w:rsid w:val="002E02B1"/>
    <w:rsid w:val="002E396B"/>
    <w:rsid w:val="002E3D2C"/>
    <w:rsid w:val="002F1879"/>
    <w:rsid w:val="002F1D45"/>
    <w:rsid w:val="002F3420"/>
    <w:rsid w:val="002F63A1"/>
    <w:rsid w:val="00304392"/>
    <w:rsid w:val="00313105"/>
    <w:rsid w:val="003141B6"/>
    <w:rsid w:val="003150FF"/>
    <w:rsid w:val="00321775"/>
    <w:rsid w:val="00321EB5"/>
    <w:rsid w:val="00322DAA"/>
    <w:rsid w:val="00323E56"/>
    <w:rsid w:val="00327067"/>
    <w:rsid w:val="00327078"/>
    <w:rsid w:val="00330A48"/>
    <w:rsid w:val="0033650C"/>
    <w:rsid w:val="00336877"/>
    <w:rsid w:val="0034128C"/>
    <w:rsid w:val="003415A6"/>
    <w:rsid w:val="00344CE5"/>
    <w:rsid w:val="003504E9"/>
    <w:rsid w:val="003519F1"/>
    <w:rsid w:val="00351EDC"/>
    <w:rsid w:val="003520A4"/>
    <w:rsid w:val="003535B2"/>
    <w:rsid w:val="00353818"/>
    <w:rsid w:val="00355460"/>
    <w:rsid w:val="0035702D"/>
    <w:rsid w:val="00360535"/>
    <w:rsid w:val="003628EB"/>
    <w:rsid w:val="00363602"/>
    <w:rsid w:val="003639EB"/>
    <w:rsid w:val="00364197"/>
    <w:rsid w:val="00373452"/>
    <w:rsid w:val="003756EB"/>
    <w:rsid w:val="003763CB"/>
    <w:rsid w:val="00380D62"/>
    <w:rsid w:val="00381001"/>
    <w:rsid w:val="0038145D"/>
    <w:rsid w:val="00382E5B"/>
    <w:rsid w:val="00383853"/>
    <w:rsid w:val="00384980"/>
    <w:rsid w:val="003874CB"/>
    <w:rsid w:val="00391E44"/>
    <w:rsid w:val="00393CE8"/>
    <w:rsid w:val="003940D4"/>
    <w:rsid w:val="003A0AEE"/>
    <w:rsid w:val="003A2518"/>
    <w:rsid w:val="003A28BF"/>
    <w:rsid w:val="003A7420"/>
    <w:rsid w:val="003A75E8"/>
    <w:rsid w:val="003B2723"/>
    <w:rsid w:val="003B3FFE"/>
    <w:rsid w:val="003C1744"/>
    <w:rsid w:val="003C615D"/>
    <w:rsid w:val="003D112E"/>
    <w:rsid w:val="003D12A0"/>
    <w:rsid w:val="003D1A98"/>
    <w:rsid w:val="003D1CCF"/>
    <w:rsid w:val="003D3FE2"/>
    <w:rsid w:val="003D4E93"/>
    <w:rsid w:val="003D640F"/>
    <w:rsid w:val="003D7316"/>
    <w:rsid w:val="003E1786"/>
    <w:rsid w:val="003E17F3"/>
    <w:rsid w:val="003E1C20"/>
    <w:rsid w:val="003E20ED"/>
    <w:rsid w:val="003F7D7E"/>
    <w:rsid w:val="00401B0C"/>
    <w:rsid w:val="00402953"/>
    <w:rsid w:val="00410A00"/>
    <w:rsid w:val="0041108E"/>
    <w:rsid w:val="004127AE"/>
    <w:rsid w:val="0041399D"/>
    <w:rsid w:val="00415788"/>
    <w:rsid w:val="0041731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08F2"/>
    <w:rsid w:val="00491213"/>
    <w:rsid w:val="00493B58"/>
    <w:rsid w:val="0049433A"/>
    <w:rsid w:val="004949B8"/>
    <w:rsid w:val="004A0234"/>
    <w:rsid w:val="004A0C5E"/>
    <w:rsid w:val="004A11FE"/>
    <w:rsid w:val="004A6349"/>
    <w:rsid w:val="004A7ADD"/>
    <w:rsid w:val="004B30CA"/>
    <w:rsid w:val="004C23B8"/>
    <w:rsid w:val="004C41FA"/>
    <w:rsid w:val="004C6BFB"/>
    <w:rsid w:val="004D0892"/>
    <w:rsid w:val="004D0B9B"/>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337CD"/>
    <w:rsid w:val="00534DAD"/>
    <w:rsid w:val="00540BCE"/>
    <w:rsid w:val="00541F28"/>
    <w:rsid w:val="0054241F"/>
    <w:rsid w:val="0054746D"/>
    <w:rsid w:val="00555F01"/>
    <w:rsid w:val="0055767F"/>
    <w:rsid w:val="00564E0C"/>
    <w:rsid w:val="00566CE5"/>
    <w:rsid w:val="005722AA"/>
    <w:rsid w:val="0057587F"/>
    <w:rsid w:val="005762F3"/>
    <w:rsid w:val="00577FB4"/>
    <w:rsid w:val="00581E03"/>
    <w:rsid w:val="00583985"/>
    <w:rsid w:val="005842B4"/>
    <w:rsid w:val="00587CF1"/>
    <w:rsid w:val="0059062E"/>
    <w:rsid w:val="00590D63"/>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6411"/>
    <w:rsid w:val="005D0EDF"/>
    <w:rsid w:val="005D3ACC"/>
    <w:rsid w:val="005D6C52"/>
    <w:rsid w:val="005E0BAE"/>
    <w:rsid w:val="005E0E65"/>
    <w:rsid w:val="005E1970"/>
    <w:rsid w:val="005E36FF"/>
    <w:rsid w:val="005E5941"/>
    <w:rsid w:val="005F36BF"/>
    <w:rsid w:val="005F7D12"/>
    <w:rsid w:val="00600A40"/>
    <w:rsid w:val="00604D84"/>
    <w:rsid w:val="00607722"/>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3BF"/>
    <w:rsid w:val="006B0525"/>
    <w:rsid w:val="006B24AE"/>
    <w:rsid w:val="006B3047"/>
    <w:rsid w:val="006B6C9F"/>
    <w:rsid w:val="006C0D3F"/>
    <w:rsid w:val="006C2A2F"/>
    <w:rsid w:val="006C599B"/>
    <w:rsid w:val="006D02FC"/>
    <w:rsid w:val="006D096B"/>
    <w:rsid w:val="006D2F5B"/>
    <w:rsid w:val="006D446E"/>
    <w:rsid w:val="006D4A1A"/>
    <w:rsid w:val="006D6A18"/>
    <w:rsid w:val="006D6BB5"/>
    <w:rsid w:val="006D7BFC"/>
    <w:rsid w:val="006F6F42"/>
    <w:rsid w:val="00703000"/>
    <w:rsid w:val="0070502C"/>
    <w:rsid w:val="007074FD"/>
    <w:rsid w:val="0070798C"/>
    <w:rsid w:val="00720592"/>
    <w:rsid w:val="00721E50"/>
    <w:rsid w:val="00722FB0"/>
    <w:rsid w:val="00723860"/>
    <w:rsid w:val="007268F5"/>
    <w:rsid w:val="00731792"/>
    <w:rsid w:val="00732067"/>
    <w:rsid w:val="007368A7"/>
    <w:rsid w:val="0074666A"/>
    <w:rsid w:val="00754771"/>
    <w:rsid w:val="007573E5"/>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C6BED"/>
    <w:rsid w:val="007D55B1"/>
    <w:rsid w:val="007D57A8"/>
    <w:rsid w:val="007E0556"/>
    <w:rsid w:val="007E44F5"/>
    <w:rsid w:val="007F0C04"/>
    <w:rsid w:val="007F2F1F"/>
    <w:rsid w:val="007F4EC6"/>
    <w:rsid w:val="007F7FD1"/>
    <w:rsid w:val="0080221D"/>
    <w:rsid w:val="00802FF6"/>
    <w:rsid w:val="00803F2B"/>
    <w:rsid w:val="008053A6"/>
    <w:rsid w:val="00805B41"/>
    <w:rsid w:val="008105D3"/>
    <w:rsid w:val="00814D2E"/>
    <w:rsid w:val="008158A3"/>
    <w:rsid w:val="008166F7"/>
    <w:rsid w:val="008208C7"/>
    <w:rsid w:val="00825012"/>
    <w:rsid w:val="00827EF5"/>
    <w:rsid w:val="008310FF"/>
    <w:rsid w:val="00833C2D"/>
    <w:rsid w:val="0084556B"/>
    <w:rsid w:val="0084716E"/>
    <w:rsid w:val="00853F30"/>
    <w:rsid w:val="008540B3"/>
    <w:rsid w:val="0085574D"/>
    <w:rsid w:val="00855E21"/>
    <w:rsid w:val="00856CFF"/>
    <w:rsid w:val="0086016B"/>
    <w:rsid w:val="00860963"/>
    <w:rsid w:val="008612B0"/>
    <w:rsid w:val="00864000"/>
    <w:rsid w:val="00865D5B"/>
    <w:rsid w:val="008773E5"/>
    <w:rsid w:val="00881AEC"/>
    <w:rsid w:val="00887BB0"/>
    <w:rsid w:val="0089022F"/>
    <w:rsid w:val="008A05F2"/>
    <w:rsid w:val="008A240F"/>
    <w:rsid w:val="008A5CE4"/>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3736"/>
    <w:rsid w:val="008E4786"/>
    <w:rsid w:val="008E5D55"/>
    <w:rsid w:val="008F26AD"/>
    <w:rsid w:val="008F2FB3"/>
    <w:rsid w:val="008F78D5"/>
    <w:rsid w:val="00902F55"/>
    <w:rsid w:val="0090470C"/>
    <w:rsid w:val="00906198"/>
    <w:rsid w:val="00911CA6"/>
    <w:rsid w:val="0091745E"/>
    <w:rsid w:val="009233F5"/>
    <w:rsid w:val="00926D5C"/>
    <w:rsid w:val="00926E0D"/>
    <w:rsid w:val="009360D1"/>
    <w:rsid w:val="009364DE"/>
    <w:rsid w:val="00947BF1"/>
    <w:rsid w:val="00950F2C"/>
    <w:rsid w:val="009512A7"/>
    <w:rsid w:val="009543EE"/>
    <w:rsid w:val="00965E71"/>
    <w:rsid w:val="009702DE"/>
    <w:rsid w:val="00971B64"/>
    <w:rsid w:val="00973331"/>
    <w:rsid w:val="00976266"/>
    <w:rsid w:val="00977BEF"/>
    <w:rsid w:val="0098218D"/>
    <w:rsid w:val="00990E54"/>
    <w:rsid w:val="00991232"/>
    <w:rsid w:val="00992172"/>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B6EBD"/>
    <w:rsid w:val="009C4DE4"/>
    <w:rsid w:val="009D219C"/>
    <w:rsid w:val="009D2CDF"/>
    <w:rsid w:val="009D72AA"/>
    <w:rsid w:val="009E393C"/>
    <w:rsid w:val="009E6008"/>
    <w:rsid w:val="009E6385"/>
    <w:rsid w:val="009F0268"/>
    <w:rsid w:val="009F2ADD"/>
    <w:rsid w:val="009F4313"/>
    <w:rsid w:val="009F494B"/>
    <w:rsid w:val="009F6340"/>
    <w:rsid w:val="009F7E8F"/>
    <w:rsid w:val="00A009EA"/>
    <w:rsid w:val="00A07761"/>
    <w:rsid w:val="00A12D02"/>
    <w:rsid w:val="00A139C5"/>
    <w:rsid w:val="00A17980"/>
    <w:rsid w:val="00A21E33"/>
    <w:rsid w:val="00A21E81"/>
    <w:rsid w:val="00A25047"/>
    <w:rsid w:val="00A30934"/>
    <w:rsid w:val="00A3193B"/>
    <w:rsid w:val="00A33184"/>
    <w:rsid w:val="00A36342"/>
    <w:rsid w:val="00A42896"/>
    <w:rsid w:val="00A43179"/>
    <w:rsid w:val="00A4771A"/>
    <w:rsid w:val="00A50D78"/>
    <w:rsid w:val="00A52005"/>
    <w:rsid w:val="00A53223"/>
    <w:rsid w:val="00A54552"/>
    <w:rsid w:val="00A57BE7"/>
    <w:rsid w:val="00A6563F"/>
    <w:rsid w:val="00A67F48"/>
    <w:rsid w:val="00A704D5"/>
    <w:rsid w:val="00A70752"/>
    <w:rsid w:val="00A7774E"/>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28E"/>
    <w:rsid w:val="00B06847"/>
    <w:rsid w:val="00B07042"/>
    <w:rsid w:val="00B071FD"/>
    <w:rsid w:val="00B159DB"/>
    <w:rsid w:val="00B24F0E"/>
    <w:rsid w:val="00B34139"/>
    <w:rsid w:val="00B40077"/>
    <w:rsid w:val="00B42160"/>
    <w:rsid w:val="00B45A43"/>
    <w:rsid w:val="00B45D4C"/>
    <w:rsid w:val="00B46D2C"/>
    <w:rsid w:val="00B46F0B"/>
    <w:rsid w:val="00B5501D"/>
    <w:rsid w:val="00B61668"/>
    <w:rsid w:val="00B70AB8"/>
    <w:rsid w:val="00B7110A"/>
    <w:rsid w:val="00B735AA"/>
    <w:rsid w:val="00B73845"/>
    <w:rsid w:val="00B76BA6"/>
    <w:rsid w:val="00B76BE5"/>
    <w:rsid w:val="00B85469"/>
    <w:rsid w:val="00B8716F"/>
    <w:rsid w:val="00B902AE"/>
    <w:rsid w:val="00B9337F"/>
    <w:rsid w:val="00B93892"/>
    <w:rsid w:val="00B93DB3"/>
    <w:rsid w:val="00B94BF5"/>
    <w:rsid w:val="00B958C0"/>
    <w:rsid w:val="00B979BB"/>
    <w:rsid w:val="00B97F8D"/>
    <w:rsid w:val="00BA0D9F"/>
    <w:rsid w:val="00BA7B2F"/>
    <w:rsid w:val="00BB4689"/>
    <w:rsid w:val="00BB5D21"/>
    <w:rsid w:val="00BB6C89"/>
    <w:rsid w:val="00BC1036"/>
    <w:rsid w:val="00BC2D8F"/>
    <w:rsid w:val="00BC4302"/>
    <w:rsid w:val="00BD13D0"/>
    <w:rsid w:val="00BD2E2F"/>
    <w:rsid w:val="00BD6B49"/>
    <w:rsid w:val="00BE0B38"/>
    <w:rsid w:val="00BE24C9"/>
    <w:rsid w:val="00BE4777"/>
    <w:rsid w:val="00BF47AC"/>
    <w:rsid w:val="00BF5DD3"/>
    <w:rsid w:val="00C017C5"/>
    <w:rsid w:val="00C02BA6"/>
    <w:rsid w:val="00C03393"/>
    <w:rsid w:val="00C04A0E"/>
    <w:rsid w:val="00C061C7"/>
    <w:rsid w:val="00C07C7D"/>
    <w:rsid w:val="00C14165"/>
    <w:rsid w:val="00C1435D"/>
    <w:rsid w:val="00C162ED"/>
    <w:rsid w:val="00C202C1"/>
    <w:rsid w:val="00C242F9"/>
    <w:rsid w:val="00C2639C"/>
    <w:rsid w:val="00C263CC"/>
    <w:rsid w:val="00C34A5B"/>
    <w:rsid w:val="00C36E6D"/>
    <w:rsid w:val="00C3787E"/>
    <w:rsid w:val="00C41F0F"/>
    <w:rsid w:val="00C42011"/>
    <w:rsid w:val="00C42BCF"/>
    <w:rsid w:val="00C45E9C"/>
    <w:rsid w:val="00C4774B"/>
    <w:rsid w:val="00C508F3"/>
    <w:rsid w:val="00C52B4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63FA"/>
    <w:rsid w:val="00CB7E0F"/>
    <w:rsid w:val="00CC06D9"/>
    <w:rsid w:val="00CC32B5"/>
    <w:rsid w:val="00CD2415"/>
    <w:rsid w:val="00CD2980"/>
    <w:rsid w:val="00CD2DF0"/>
    <w:rsid w:val="00CD3789"/>
    <w:rsid w:val="00CD4F00"/>
    <w:rsid w:val="00CD6C55"/>
    <w:rsid w:val="00CE1988"/>
    <w:rsid w:val="00CE3A39"/>
    <w:rsid w:val="00CE4934"/>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4556"/>
    <w:rsid w:val="00D45C13"/>
    <w:rsid w:val="00D45F11"/>
    <w:rsid w:val="00D45F7B"/>
    <w:rsid w:val="00D47BF1"/>
    <w:rsid w:val="00D518FB"/>
    <w:rsid w:val="00D544B8"/>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A0A19"/>
    <w:rsid w:val="00DA4A84"/>
    <w:rsid w:val="00DB0143"/>
    <w:rsid w:val="00DB7966"/>
    <w:rsid w:val="00DC2568"/>
    <w:rsid w:val="00DC59D1"/>
    <w:rsid w:val="00DC7D0F"/>
    <w:rsid w:val="00DD2B2D"/>
    <w:rsid w:val="00DD6641"/>
    <w:rsid w:val="00DE168E"/>
    <w:rsid w:val="00DE23AA"/>
    <w:rsid w:val="00DF172F"/>
    <w:rsid w:val="00DF17BF"/>
    <w:rsid w:val="00DF2140"/>
    <w:rsid w:val="00DF49FE"/>
    <w:rsid w:val="00DF56B6"/>
    <w:rsid w:val="00DF65DE"/>
    <w:rsid w:val="00E02368"/>
    <w:rsid w:val="00E119C1"/>
    <w:rsid w:val="00E12A76"/>
    <w:rsid w:val="00E12DAF"/>
    <w:rsid w:val="00E15C44"/>
    <w:rsid w:val="00E15E99"/>
    <w:rsid w:val="00E1687C"/>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5467B"/>
    <w:rsid w:val="00E632AC"/>
    <w:rsid w:val="00E6491A"/>
    <w:rsid w:val="00E66762"/>
    <w:rsid w:val="00E672FC"/>
    <w:rsid w:val="00E717DA"/>
    <w:rsid w:val="00E721A9"/>
    <w:rsid w:val="00E75D00"/>
    <w:rsid w:val="00E75F3B"/>
    <w:rsid w:val="00E76648"/>
    <w:rsid w:val="00E86C0D"/>
    <w:rsid w:val="00E91452"/>
    <w:rsid w:val="00EA5D2D"/>
    <w:rsid w:val="00EB0BA5"/>
    <w:rsid w:val="00EB3128"/>
    <w:rsid w:val="00EB7F44"/>
    <w:rsid w:val="00EC0D9D"/>
    <w:rsid w:val="00EC189B"/>
    <w:rsid w:val="00EC3F6B"/>
    <w:rsid w:val="00EC5C8C"/>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5447"/>
    <w:rsid w:val="00F0029F"/>
    <w:rsid w:val="00F01DA3"/>
    <w:rsid w:val="00F06E6E"/>
    <w:rsid w:val="00F11CFC"/>
    <w:rsid w:val="00F20526"/>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5FC"/>
    <w:rsid w:val="00FE0E6E"/>
    <w:rsid w:val="00FE3160"/>
    <w:rsid w:val="00FE5536"/>
    <w:rsid w:val="00FF0F47"/>
    <w:rsid w:val="00FF11D7"/>
    <w:rsid w:val="00FF7896"/>
    <w:rsid w:val="00FF7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111AD"/>
  <w15:chartTrackingRefBased/>
  <w15:docId w15:val="{4DFF7842-A40B-4E89-A851-AE4D13E5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4"/>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character" w:styleId="FollowedHyperlink">
    <w:name w:val="FollowedHyperlink"/>
    <w:rsid w:val="002900FB"/>
    <w:rPr>
      <w:color w:val="954F72"/>
      <w:u w:val="single"/>
    </w:rPr>
  </w:style>
  <w:style w:type="character" w:styleId="PlaceholderText">
    <w:name w:val="Placeholder Text"/>
    <w:basedOn w:val="DefaultParagraphFont"/>
    <w:uiPriority w:val="99"/>
    <w:semiHidden/>
    <w:rsid w:val="00B93892"/>
    <w:rPr>
      <w:color w:val="666666"/>
    </w:rPr>
  </w:style>
  <w:style w:type="paragraph" w:styleId="BodyText">
    <w:name w:val="Body Text"/>
    <w:basedOn w:val="Normal"/>
    <w:link w:val="BodyTextChar"/>
    <w:uiPriority w:val="1"/>
    <w:unhideWhenUsed/>
    <w:qFormat/>
    <w:rsid w:val="003535B2"/>
    <w:pPr>
      <w:widowControl w:val="0"/>
      <w:autoSpaceDE w:val="0"/>
      <w:autoSpaceDN w:val="0"/>
    </w:pPr>
    <w:rPr>
      <w:rFonts w:ascii="Book Antiqua" w:eastAsia="Book Antiqua" w:hAnsi="Book Antiqua" w:cs="Book Antiqua"/>
      <w:sz w:val="20"/>
      <w:szCs w:val="20"/>
    </w:rPr>
  </w:style>
  <w:style w:type="character" w:customStyle="1" w:styleId="BodyTextChar">
    <w:name w:val="Body Text Char"/>
    <w:basedOn w:val="DefaultParagraphFont"/>
    <w:link w:val="BodyText"/>
    <w:uiPriority w:val="1"/>
    <w:rsid w:val="003535B2"/>
    <w:rPr>
      <w:rFonts w:ascii="Book Antiqua" w:eastAsia="Book Antiqua" w:hAnsi="Book Antiqua" w:cs="Book Antiqua"/>
      <w:lang w:val="en-US" w:eastAsia="en-US"/>
    </w:rPr>
  </w:style>
  <w:style w:type="paragraph" w:customStyle="1" w:styleId="TableParagraph">
    <w:name w:val="Table Paragraph"/>
    <w:basedOn w:val="Normal"/>
    <w:uiPriority w:val="1"/>
    <w:qFormat/>
    <w:rsid w:val="003535B2"/>
    <w:pPr>
      <w:widowControl w:val="0"/>
      <w:autoSpaceDE w:val="0"/>
      <w:autoSpaceDN w:val="0"/>
      <w:spacing w:line="219" w:lineRule="exact"/>
      <w:ind w:left="118"/>
    </w:pPr>
    <w:rPr>
      <w:rFonts w:ascii="Book Antiqua" w:eastAsia="Book Antiqua" w:hAnsi="Book Antiqua" w:cs="Book Antiqua"/>
      <w:sz w:val="22"/>
      <w:szCs w:val="22"/>
    </w:rPr>
  </w:style>
  <w:style w:type="paragraph" w:styleId="NormalWeb">
    <w:name w:val="Normal (Web)"/>
    <w:basedOn w:val="Normal"/>
    <w:rsid w:val="00600A40"/>
  </w:style>
  <w:style w:type="character" w:customStyle="1" w:styleId="katex-mathml">
    <w:name w:val="katex-mathml"/>
    <w:basedOn w:val="DefaultParagraphFont"/>
    <w:rsid w:val="00EC0D9D"/>
  </w:style>
  <w:style w:type="character" w:customStyle="1" w:styleId="mord">
    <w:name w:val="mord"/>
    <w:basedOn w:val="DefaultParagraphFont"/>
    <w:rsid w:val="00EC0D9D"/>
  </w:style>
  <w:style w:type="character" w:customStyle="1" w:styleId="mopen">
    <w:name w:val="mopen"/>
    <w:basedOn w:val="DefaultParagraphFont"/>
    <w:rsid w:val="00EC0D9D"/>
  </w:style>
  <w:style w:type="character" w:customStyle="1" w:styleId="mclose">
    <w:name w:val="mclose"/>
    <w:basedOn w:val="DefaultParagraphFont"/>
    <w:rsid w:val="00EC0D9D"/>
  </w:style>
  <w:style w:type="character" w:styleId="UnresolvedMention">
    <w:name w:val="Unresolved Mention"/>
    <w:basedOn w:val="DefaultParagraphFont"/>
    <w:uiPriority w:val="99"/>
    <w:semiHidden/>
    <w:unhideWhenUsed/>
    <w:rsid w:val="00B8716F"/>
    <w:rPr>
      <w:color w:val="605E5C"/>
      <w:shd w:val="clear" w:color="auto" w:fill="E1DFDD"/>
    </w:rPr>
  </w:style>
  <w:style w:type="table" w:styleId="TableGrid">
    <w:name w:val="Table Grid"/>
    <w:basedOn w:val="TableNormal"/>
    <w:uiPriority w:val="39"/>
    <w:rsid w:val="00150F0F"/>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1026">
      <w:bodyDiv w:val="1"/>
      <w:marLeft w:val="0"/>
      <w:marRight w:val="0"/>
      <w:marTop w:val="0"/>
      <w:marBottom w:val="0"/>
      <w:divBdr>
        <w:top w:val="none" w:sz="0" w:space="0" w:color="auto"/>
        <w:left w:val="none" w:sz="0" w:space="0" w:color="auto"/>
        <w:bottom w:val="none" w:sz="0" w:space="0" w:color="auto"/>
        <w:right w:val="none" w:sz="0" w:space="0" w:color="auto"/>
      </w:divBdr>
    </w:div>
    <w:div w:id="33433904">
      <w:bodyDiv w:val="1"/>
      <w:marLeft w:val="0"/>
      <w:marRight w:val="0"/>
      <w:marTop w:val="0"/>
      <w:marBottom w:val="0"/>
      <w:divBdr>
        <w:top w:val="none" w:sz="0" w:space="0" w:color="auto"/>
        <w:left w:val="none" w:sz="0" w:space="0" w:color="auto"/>
        <w:bottom w:val="none" w:sz="0" w:space="0" w:color="auto"/>
        <w:right w:val="none" w:sz="0" w:space="0" w:color="auto"/>
      </w:divBdr>
    </w:div>
    <w:div w:id="52853768">
      <w:bodyDiv w:val="1"/>
      <w:marLeft w:val="0"/>
      <w:marRight w:val="0"/>
      <w:marTop w:val="0"/>
      <w:marBottom w:val="0"/>
      <w:divBdr>
        <w:top w:val="none" w:sz="0" w:space="0" w:color="auto"/>
        <w:left w:val="none" w:sz="0" w:space="0" w:color="auto"/>
        <w:bottom w:val="none" w:sz="0" w:space="0" w:color="auto"/>
        <w:right w:val="none" w:sz="0" w:space="0" w:color="auto"/>
      </w:divBdr>
    </w:div>
    <w:div w:id="81345413">
      <w:bodyDiv w:val="1"/>
      <w:marLeft w:val="0"/>
      <w:marRight w:val="0"/>
      <w:marTop w:val="0"/>
      <w:marBottom w:val="0"/>
      <w:divBdr>
        <w:top w:val="none" w:sz="0" w:space="0" w:color="auto"/>
        <w:left w:val="none" w:sz="0" w:space="0" w:color="auto"/>
        <w:bottom w:val="none" w:sz="0" w:space="0" w:color="auto"/>
        <w:right w:val="none" w:sz="0" w:space="0" w:color="auto"/>
      </w:divBdr>
    </w:div>
    <w:div w:id="97874913">
      <w:bodyDiv w:val="1"/>
      <w:marLeft w:val="0"/>
      <w:marRight w:val="0"/>
      <w:marTop w:val="0"/>
      <w:marBottom w:val="0"/>
      <w:divBdr>
        <w:top w:val="none" w:sz="0" w:space="0" w:color="auto"/>
        <w:left w:val="none" w:sz="0" w:space="0" w:color="auto"/>
        <w:bottom w:val="none" w:sz="0" w:space="0" w:color="auto"/>
        <w:right w:val="none" w:sz="0" w:space="0" w:color="auto"/>
      </w:divBdr>
    </w:div>
    <w:div w:id="111435818">
      <w:bodyDiv w:val="1"/>
      <w:marLeft w:val="0"/>
      <w:marRight w:val="0"/>
      <w:marTop w:val="0"/>
      <w:marBottom w:val="0"/>
      <w:divBdr>
        <w:top w:val="none" w:sz="0" w:space="0" w:color="auto"/>
        <w:left w:val="none" w:sz="0" w:space="0" w:color="auto"/>
        <w:bottom w:val="none" w:sz="0" w:space="0" w:color="auto"/>
        <w:right w:val="none" w:sz="0" w:space="0" w:color="auto"/>
      </w:divBdr>
    </w:div>
    <w:div w:id="136076083">
      <w:bodyDiv w:val="1"/>
      <w:marLeft w:val="0"/>
      <w:marRight w:val="0"/>
      <w:marTop w:val="0"/>
      <w:marBottom w:val="0"/>
      <w:divBdr>
        <w:top w:val="none" w:sz="0" w:space="0" w:color="auto"/>
        <w:left w:val="none" w:sz="0" w:space="0" w:color="auto"/>
        <w:bottom w:val="none" w:sz="0" w:space="0" w:color="auto"/>
        <w:right w:val="none" w:sz="0" w:space="0" w:color="auto"/>
      </w:divBdr>
    </w:div>
    <w:div w:id="193999699">
      <w:bodyDiv w:val="1"/>
      <w:marLeft w:val="0"/>
      <w:marRight w:val="0"/>
      <w:marTop w:val="0"/>
      <w:marBottom w:val="0"/>
      <w:divBdr>
        <w:top w:val="none" w:sz="0" w:space="0" w:color="auto"/>
        <w:left w:val="none" w:sz="0" w:space="0" w:color="auto"/>
        <w:bottom w:val="none" w:sz="0" w:space="0" w:color="auto"/>
        <w:right w:val="none" w:sz="0" w:space="0" w:color="auto"/>
      </w:divBdr>
    </w:div>
    <w:div w:id="210654538">
      <w:bodyDiv w:val="1"/>
      <w:marLeft w:val="0"/>
      <w:marRight w:val="0"/>
      <w:marTop w:val="0"/>
      <w:marBottom w:val="0"/>
      <w:divBdr>
        <w:top w:val="none" w:sz="0" w:space="0" w:color="auto"/>
        <w:left w:val="none" w:sz="0" w:space="0" w:color="auto"/>
        <w:bottom w:val="none" w:sz="0" w:space="0" w:color="auto"/>
        <w:right w:val="none" w:sz="0" w:space="0" w:color="auto"/>
      </w:divBdr>
    </w:div>
    <w:div w:id="217981523">
      <w:bodyDiv w:val="1"/>
      <w:marLeft w:val="0"/>
      <w:marRight w:val="0"/>
      <w:marTop w:val="0"/>
      <w:marBottom w:val="0"/>
      <w:divBdr>
        <w:top w:val="none" w:sz="0" w:space="0" w:color="auto"/>
        <w:left w:val="none" w:sz="0" w:space="0" w:color="auto"/>
        <w:bottom w:val="none" w:sz="0" w:space="0" w:color="auto"/>
        <w:right w:val="none" w:sz="0" w:space="0" w:color="auto"/>
      </w:divBdr>
    </w:div>
    <w:div w:id="332143979">
      <w:bodyDiv w:val="1"/>
      <w:marLeft w:val="0"/>
      <w:marRight w:val="0"/>
      <w:marTop w:val="0"/>
      <w:marBottom w:val="0"/>
      <w:divBdr>
        <w:top w:val="none" w:sz="0" w:space="0" w:color="auto"/>
        <w:left w:val="none" w:sz="0" w:space="0" w:color="auto"/>
        <w:bottom w:val="none" w:sz="0" w:space="0" w:color="auto"/>
        <w:right w:val="none" w:sz="0" w:space="0" w:color="auto"/>
      </w:divBdr>
    </w:div>
    <w:div w:id="549924075">
      <w:bodyDiv w:val="1"/>
      <w:marLeft w:val="0"/>
      <w:marRight w:val="0"/>
      <w:marTop w:val="0"/>
      <w:marBottom w:val="0"/>
      <w:divBdr>
        <w:top w:val="none" w:sz="0" w:space="0" w:color="auto"/>
        <w:left w:val="none" w:sz="0" w:space="0" w:color="auto"/>
        <w:bottom w:val="none" w:sz="0" w:space="0" w:color="auto"/>
        <w:right w:val="none" w:sz="0" w:space="0" w:color="auto"/>
      </w:divBdr>
    </w:div>
    <w:div w:id="595136758">
      <w:bodyDiv w:val="1"/>
      <w:marLeft w:val="0"/>
      <w:marRight w:val="0"/>
      <w:marTop w:val="0"/>
      <w:marBottom w:val="0"/>
      <w:divBdr>
        <w:top w:val="none" w:sz="0" w:space="0" w:color="auto"/>
        <w:left w:val="none" w:sz="0" w:space="0" w:color="auto"/>
        <w:bottom w:val="none" w:sz="0" w:space="0" w:color="auto"/>
        <w:right w:val="none" w:sz="0" w:space="0" w:color="auto"/>
      </w:divBdr>
    </w:div>
    <w:div w:id="696850747">
      <w:bodyDiv w:val="1"/>
      <w:marLeft w:val="0"/>
      <w:marRight w:val="0"/>
      <w:marTop w:val="0"/>
      <w:marBottom w:val="0"/>
      <w:divBdr>
        <w:top w:val="none" w:sz="0" w:space="0" w:color="auto"/>
        <w:left w:val="none" w:sz="0" w:space="0" w:color="auto"/>
        <w:bottom w:val="none" w:sz="0" w:space="0" w:color="auto"/>
        <w:right w:val="none" w:sz="0" w:space="0" w:color="auto"/>
      </w:divBdr>
    </w:div>
    <w:div w:id="709770094">
      <w:bodyDiv w:val="1"/>
      <w:marLeft w:val="0"/>
      <w:marRight w:val="0"/>
      <w:marTop w:val="0"/>
      <w:marBottom w:val="0"/>
      <w:divBdr>
        <w:top w:val="none" w:sz="0" w:space="0" w:color="auto"/>
        <w:left w:val="none" w:sz="0" w:space="0" w:color="auto"/>
        <w:bottom w:val="none" w:sz="0" w:space="0" w:color="auto"/>
        <w:right w:val="none" w:sz="0" w:space="0" w:color="auto"/>
      </w:divBdr>
    </w:div>
    <w:div w:id="756557767">
      <w:bodyDiv w:val="1"/>
      <w:marLeft w:val="0"/>
      <w:marRight w:val="0"/>
      <w:marTop w:val="0"/>
      <w:marBottom w:val="0"/>
      <w:divBdr>
        <w:top w:val="none" w:sz="0" w:space="0" w:color="auto"/>
        <w:left w:val="none" w:sz="0" w:space="0" w:color="auto"/>
        <w:bottom w:val="none" w:sz="0" w:space="0" w:color="auto"/>
        <w:right w:val="none" w:sz="0" w:space="0" w:color="auto"/>
      </w:divBdr>
    </w:div>
    <w:div w:id="762192738">
      <w:bodyDiv w:val="1"/>
      <w:marLeft w:val="0"/>
      <w:marRight w:val="0"/>
      <w:marTop w:val="0"/>
      <w:marBottom w:val="0"/>
      <w:divBdr>
        <w:top w:val="none" w:sz="0" w:space="0" w:color="auto"/>
        <w:left w:val="none" w:sz="0" w:space="0" w:color="auto"/>
        <w:bottom w:val="none" w:sz="0" w:space="0" w:color="auto"/>
        <w:right w:val="none" w:sz="0" w:space="0" w:color="auto"/>
      </w:divBdr>
    </w:div>
    <w:div w:id="868176745">
      <w:bodyDiv w:val="1"/>
      <w:marLeft w:val="0"/>
      <w:marRight w:val="0"/>
      <w:marTop w:val="0"/>
      <w:marBottom w:val="0"/>
      <w:divBdr>
        <w:top w:val="none" w:sz="0" w:space="0" w:color="auto"/>
        <w:left w:val="none" w:sz="0" w:space="0" w:color="auto"/>
        <w:bottom w:val="none" w:sz="0" w:space="0" w:color="auto"/>
        <w:right w:val="none" w:sz="0" w:space="0" w:color="auto"/>
      </w:divBdr>
    </w:div>
    <w:div w:id="969674743">
      <w:bodyDiv w:val="1"/>
      <w:marLeft w:val="0"/>
      <w:marRight w:val="0"/>
      <w:marTop w:val="0"/>
      <w:marBottom w:val="0"/>
      <w:divBdr>
        <w:top w:val="none" w:sz="0" w:space="0" w:color="auto"/>
        <w:left w:val="none" w:sz="0" w:space="0" w:color="auto"/>
        <w:bottom w:val="none" w:sz="0" w:space="0" w:color="auto"/>
        <w:right w:val="none" w:sz="0" w:space="0" w:color="auto"/>
      </w:divBdr>
    </w:div>
    <w:div w:id="1014192913">
      <w:bodyDiv w:val="1"/>
      <w:marLeft w:val="0"/>
      <w:marRight w:val="0"/>
      <w:marTop w:val="0"/>
      <w:marBottom w:val="0"/>
      <w:divBdr>
        <w:top w:val="none" w:sz="0" w:space="0" w:color="auto"/>
        <w:left w:val="none" w:sz="0" w:space="0" w:color="auto"/>
        <w:bottom w:val="none" w:sz="0" w:space="0" w:color="auto"/>
        <w:right w:val="none" w:sz="0" w:space="0" w:color="auto"/>
      </w:divBdr>
    </w:div>
    <w:div w:id="1014309466">
      <w:bodyDiv w:val="1"/>
      <w:marLeft w:val="0"/>
      <w:marRight w:val="0"/>
      <w:marTop w:val="0"/>
      <w:marBottom w:val="0"/>
      <w:divBdr>
        <w:top w:val="none" w:sz="0" w:space="0" w:color="auto"/>
        <w:left w:val="none" w:sz="0" w:space="0" w:color="auto"/>
        <w:bottom w:val="none" w:sz="0" w:space="0" w:color="auto"/>
        <w:right w:val="none" w:sz="0" w:space="0" w:color="auto"/>
      </w:divBdr>
    </w:div>
    <w:div w:id="1071151730">
      <w:bodyDiv w:val="1"/>
      <w:marLeft w:val="0"/>
      <w:marRight w:val="0"/>
      <w:marTop w:val="0"/>
      <w:marBottom w:val="0"/>
      <w:divBdr>
        <w:top w:val="none" w:sz="0" w:space="0" w:color="auto"/>
        <w:left w:val="none" w:sz="0" w:space="0" w:color="auto"/>
        <w:bottom w:val="none" w:sz="0" w:space="0" w:color="auto"/>
        <w:right w:val="none" w:sz="0" w:space="0" w:color="auto"/>
      </w:divBdr>
    </w:div>
    <w:div w:id="1176267617">
      <w:bodyDiv w:val="1"/>
      <w:marLeft w:val="0"/>
      <w:marRight w:val="0"/>
      <w:marTop w:val="0"/>
      <w:marBottom w:val="0"/>
      <w:divBdr>
        <w:top w:val="none" w:sz="0" w:space="0" w:color="auto"/>
        <w:left w:val="none" w:sz="0" w:space="0" w:color="auto"/>
        <w:bottom w:val="none" w:sz="0" w:space="0" w:color="auto"/>
        <w:right w:val="none" w:sz="0" w:space="0" w:color="auto"/>
      </w:divBdr>
    </w:div>
    <w:div w:id="1225142545">
      <w:bodyDiv w:val="1"/>
      <w:marLeft w:val="0"/>
      <w:marRight w:val="0"/>
      <w:marTop w:val="0"/>
      <w:marBottom w:val="0"/>
      <w:divBdr>
        <w:top w:val="none" w:sz="0" w:space="0" w:color="auto"/>
        <w:left w:val="none" w:sz="0" w:space="0" w:color="auto"/>
        <w:bottom w:val="none" w:sz="0" w:space="0" w:color="auto"/>
        <w:right w:val="none" w:sz="0" w:space="0" w:color="auto"/>
      </w:divBdr>
    </w:div>
    <w:div w:id="1296717494">
      <w:bodyDiv w:val="1"/>
      <w:marLeft w:val="0"/>
      <w:marRight w:val="0"/>
      <w:marTop w:val="0"/>
      <w:marBottom w:val="0"/>
      <w:divBdr>
        <w:top w:val="none" w:sz="0" w:space="0" w:color="auto"/>
        <w:left w:val="none" w:sz="0" w:space="0" w:color="auto"/>
        <w:bottom w:val="none" w:sz="0" w:space="0" w:color="auto"/>
        <w:right w:val="none" w:sz="0" w:space="0" w:color="auto"/>
      </w:divBdr>
    </w:div>
    <w:div w:id="1310668921">
      <w:bodyDiv w:val="1"/>
      <w:marLeft w:val="0"/>
      <w:marRight w:val="0"/>
      <w:marTop w:val="0"/>
      <w:marBottom w:val="0"/>
      <w:divBdr>
        <w:top w:val="none" w:sz="0" w:space="0" w:color="auto"/>
        <w:left w:val="none" w:sz="0" w:space="0" w:color="auto"/>
        <w:bottom w:val="none" w:sz="0" w:space="0" w:color="auto"/>
        <w:right w:val="none" w:sz="0" w:space="0" w:color="auto"/>
      </w:divBdr>
    </w:div>
    <w:div w:id="1333800195">
      <w:bodyDiv w:val="1"/>
      <w:marLeft w:val="0"/>
      <w:marRight w:val="0"/>
      <w:marTop w:val="0"/>
      <w:marBottom w:val="0"/>
      <w:divBdr>
        <w:top w:val="none" w:sz="0" w:space="0" w:color="auto"/>
        <w:left w:val="none" w:sz="0" w:space="0" w:color="auto"/>
        <w:bottom w:val="none" w:sz="0" w:space="0" w:color="auto"/>
        <w:right w:val="none" w:sz="0" w:space="0" w:color="auto"/>
      </w:divBdr>
    </w:div>
    <w:div w:id="1394889601">
      <w:bodyDiv w:val="1"/>
      <w:marLeft w:val="0"/>
      <w:marRight w:val="0"/>
      <w:marTop w:val="0"/>
      <w:marBottom w:val="0"/>
      <w:divBdr>
        <w:top w:val="none" w:sz="0" w:space="0" w:color="auto"/>
        <w:left w:val="none" w:sz="0" w:space="0" w:color="auto"/>
        <w:bottom w:val="none" w:sz="0" w:space="0" w:color="auto"/>
        <w:right w:val="none" w:sz="0" w:space="0" w:color="auto"/>
      </w:divBdr>
    </w:div>
    <w:div w:id="1596284888">
      <w:bodyDiv w:val="1"/>
      <w:marLeft w:val="0"/>
      <w:marRight w:val="0"/>
      <w:marTop w:val="0"/>
      <w:marBottom w:val="0"/>
      <w:divBdr>
        <w:top w:val="none" w:sz="0" w:space="0" w:color="auto"/>
        <w:left w:val="none" w:sz="0" w:space="0" w:color="auto"/>
        <w:bottom w:val="none" w:sz="0" w:space="0" w:color="auto"/>
        <w:right w:val="none" w:sz="0" w:space="0" w:color="auto"/>
      </w:divBdr>
    </w:div>
    <w:div w:id="1660765067">
      <w:bodyDiv w:val="1"/>
      <w:marLeft w:val="0"/>
      <w:marRight w:val="0"/>
      <w:marTop w:val="0"/>
      <w:marBottom w:val="0"/>
      <w:divBdr>
        <w:top w:val="none" w:sz="0" w:space="0" w:color="auto"/>
        <w:left w:val="none" w:sz="0" w:space="0" w:color="auto"/>
        <w:bottom w:val="none" w:sz="0" w:space="0" w:color="auto"/>
        <w:right w:val="none" w:sz="0" w:space="0" w:color="auto"/>
      </w:divBdr>
    </w:div>
    <w:div w:id="1705793069">
      <w:bodyDiv w:val="1"/>
      <w:marLeft w:val="0"/>
      <w:marRight w:val="0"/>
      <w:marTop w:val="0"/>
      <w:marBottom w:val="0"/>
      <w:divBdr>
        <w:top w:val="none" w:sz="0" w:space="0" w:color="auto"/>
        <w:left w:val="none" w:sz="0" w:space="0" w:color="auto"/>
        <w:bottom w:val="none" w:sz="0" w:space="0" w:color="auto"/>
        <w:right w:val="none" w:sz="0" w:space="0" w:color="auto"/>
      </w:divBdr>
    </w:div>
    <w:div w:id="1716199544">
      <w:bodyDiv w:val="1"/>
      <w:marLeft w:val="0"/>
      <w:marRight w:val="0"/>
      <w:marTop w:val="0"/>
      <w:marBottom w:val="0"/>
      <w:divBdr>
        <w:top w:val="none" w:sz="0" w:space="0" w:color="auto"/>
        <w:left w:val="none" w:sz="0" w:space="0" w:color="auto"/>
        <w:bottom w:val="none" w:sz="0" w:space="0" w:color="auto"/>
        <w:right w:val="none" w:sz="0" w:space="0" w:color="auto"/>
      </w:divBdr>
    </w:div>
    <w:div w:id="1721052033">
      <w:bodyDiv w:val="1"/>
      <w:marLeft w:val="0"/>
      <w:marRight w:val="0"/>
      <w:marTop w:val="0"/>
      <w:marBottom w:val="0"/>
      <w:divBdr>
        <w:top w:val="none" w:sz="0" w:space="0" w:color="auto"/>
        <w:left w:val="none" w:sz="0" w:space="0" w:color="auto"/>
        <w:bottom w:val="none" w:sz="0" w:space="0" w:color="auto"/>
        <w:right w:val="none" w:sz="0" w:space="0" w:color="auto"/>
      </w:divBdr>
    </w:div>
    <w:div w:id="1863547352">
      <w:bodyDiv w:val="1"/>
      <w:marLeft w:val="0"/>
      <w:marRight w:val="0"/>
      <w:marTop w:val="0"/>
      <w:marBottom w:val="0"/>
      <w:divBdr>
        <w:top w:val="none" w:sz="0" w:space="0" w:color="auto"/>
        <w:left w:val="none" w:sz="0" w:space="0" w:color="auto"/>
        <w:bottom w:val="none" w:sz="0" w:space="0" w:color="auto"/>
        <w:right w:val="none" w:sz="0" w:space="0" w:color="auto"/>
      </w:divBdr>
    </w:div>
    <w:div w:id="2011907839">
      <w:bodyDiv w:val="1"/>
      <w:marLeft w:val="0"/>
      <w:marRight w:val="0"/>
      <w:marTop w:val="0"/>
      <w:marBottom w:val="0"/>
      <w:divBdr>
        <w:top w:val="none" w:sz="0" w:space="0" w:color="auto"/>
        <w:left w:val="none" w:sz="0" w:space="0" w:color="auto"/>
        <w:bottom w:val="none" w:sz="0" w:space="0" w:color="auto"/>
        <w:right w:val="none" w:sz="0" w:space="0" w:color="auto"/>
      </w:divBdr>
    </w:div>
    <w:div w:id="2027171473">
      <w:bodyDiv w:val="1"/>
      <w:marLeft w:val="0"/>
      <w:marRight w:val="0"/>
      <w:marTop w:val="0"/>
      <w:marBottom w:val="0"/>
      <w:divBdr>
        <w:top w:val="none" w:sz="0" w:space="0" w:color="auto"/>
        <w:left w:val="none" w:sz="0" w:space="0" w:color="auto"/>
        <w:bottom w:val="none" w:sz="0" w:space="0" w:color="auto"/>
        <w:right w:val="none" w:sz="0" w:space="0" w:color="auto"/>
      </w:divBdr>
    </w:div>
    <w:div w:id="2064139091">
      <w:bodyDiv w:val="1"/>
      <w:marLeft w:val="0"/>
      <w:marRight w:val="0"/>
      <w:marTop w:val="0"/>
      <w:marBottom w:val="0"/>
      <w:divBdr>
        <w:top w:val="none" w:sz="0" w:space="0" w:color="auto"/>
        <w:left w:val="none" w:sz="0" w:space="0" w:color="auto"/>
        <w:bottom w:val="none" w:sz="0" w:space="0" w:color="auto"/>
        <w:right w:val="none" w:sz="0" w:space="0" w:color="auto"/>
      </w:divBdr>
    </w:div>
    <w:div w:id="2120952011">
      <w:bodyDiv w:val="1"/>
      <w:marLeft w:val="0"/>
      <w:marRight w:val="0"/>
      <w:marTop w:val="0"/>
      <w:marBottom w:val="0"/>
      <w:divBdr>
        <w:top w:val="none" w:sz="0" w:space="0" w:color="auto"/>
        <w:left w:val="none" w:sz="0" w:space="0" w:color="auto"/>
        <w:bottom w:val="none" w:sz="0" w:space="0" w:color="auto"/>
        <w:right w:val="none" w:sz="0" w:space="0" w:color="auto"/>
      </w:divBdr>
    </w:div>
    <w:div w:id="213910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21203/rs.3.rs-4508456/v1" TargetMode="External"/><Relationship Id="rId26" Type="http://schemas.openxmlformats.org/officeDocument/2006/relationships/hyperlink" Target="https://doi.org/10.3233/JIFS-232493" TargetMode="External"/><Relationship Id="rId21" Type="http://schemas.openxmlformats.org/officeDocument/2006/relationships/hyperlink" Target="http://arxiv.org/abs/2412.07878" TargetMode="External"/><Relationship Id="rId34" Type="http://schemas.openxmlformats.org/officeDocument/2006/relationships/hyperlink" Target="https://doi.org/10.1002/jemt.2368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93/brain/awv336" TargetMode="External"/><Relationship Id="rId33" Type="http://schemas.openxmlformats.org/officeDocument/2006/relationships/hyperlink" Target="https://doi.org/10.1109/MIPR62202.2024.00085"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09/TII.2019.2925624" TargetMode="External"/><Relationship Id="rId29" Type="http://schemas.openxmlformats.org/officeDocument/2006/relationships/hyperlink" Target="https://doi.org/10.1109/TIM.2018.28555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ELMAR62909.2024.10694603" TargetMode="External"/><Relationship Id="rId32" Type="http://schemas.openxmlformats.org/officeDocument/2006/relationships/hyperlink" Target="https://doi.org/10.1111/j.1467-9280.2009.02460.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1203/rs.3.rs-4294555/v2" TargetMode="External"/><Relationship Id="rId28" Type="http://schemas.openxmlformats.org/officeDocument/2006/relationships/hyperlink" Target="https://doi.org/10.1016/j.neunet.2014.01.006"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1111/j.1528-1167.2009.02297.x" TargetMode="External"/><Relationship Id="rId31" Type="http://schemas.openxmlformats.org/officeDocument/2006/relationships/hyperlink" Target="https://doi.org/10.15496/publikation-3773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3758/s13415-011-0047-9" TargetMode="External"/><Relationship Id="rId27" Type="http://schemas.openxmlformats.org/officeDocument/2006/relationships/hyperlink" Target="https://doi.org/10.1109/ICBDS61829.2024.10837510" TargetMode="External"/><Relationship Id="rId30" Type="http://schemas.openxmlformats.org/officeDocument/2006/relationships/hyperlink" Target="https://doi.org/10.1016/j.pnpbp.2015.03.005" TargetMode="External"/><Relationship Id="rId35" Type="http://schemas.openxmlformats.org/officeDocument/2006/relationships/hyperlink" Target="https://doi.org/10.1093/scan/nsy029" TargetMode="Externa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9E205-0C44-44DE-BC93-8AB35E94C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9</Pages>
  <Words>5833</Words>
  <Characters>37157</Characters>
  <Application>Microsoft Office Word</Application>
  <DocSecurity>0</DocSecurity>
  <Lines>1004</Lines>
  <Paragraphs>268</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42722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Nitin Khamesra</cp:lastModifiedBy>
  <cp:revision>49</cp:revision>
  <cp:lastPrinted>2017-09-13T11:28:00Z</cp:lastPrinted>
  <dcterms:created xsi:type="dcterms:W3CDTF">2025-06-07T10:30:00Z</dcterms:created>
  <dcterms:modified xsi:type="dcterms:W3CDTF">2025-06-10T12:40:00Z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9088c6d9-9002-41aa-9f00-00d88e321a7f</vt:lpwstr>
  </property>
</Properties>
</file>