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住宅業界2026年7月 最新市場動向レポート：変化を捉え、受注を伸ばすための戦略的視点</w:t>
      </w:r>
    </w:p>
    <w:p>
      <w:pPr>
        <w:jc w:val="right"/>
      </w:pPr>
      <w:r>
        <w:rPr>
          <w:color w:val="666666"/>
          <w:sz w:val="18"/>
        </w:rPr>
        <w:t>2026年07月15日</w:t>
      </w:r>
    </w:p>
    <w:p/>
    <w:p>
      <w:pPr>
        <w:spacing w:before="200" w:after="80"/>
      </w:pPr>
      <w:r>
        <w:rPr>
          <w:b/>
          <w:color w:val="2E75B6"/>
          <w:sz w:val="25"/>
        </w:rPr>
        <w:t>顧客価値観の変化と補助金制度の活用 - 「資産性」と「快適性」への投資を促す</w:t>
      </w:r>
    </w:p>
    <w:p>
      <w:pPr>
        <w:spacing w:before="120" w:after="40"/>
      </w:pPr>
      <w:r>
        <w:rPr>
          <w:b/>
          <w:sz w:val="21"/>
        </w:rPr>
        <w:t>■ 「資産性」と「快適性」が購買決定の主軸に</w:t>
      </w:r>
    </w:p>
    <w:p>
      <w:pPr>
        <w:spacing w:line="312" w:lineRule="auto"/>
        <w:ind w:left="283"/>
      </w:pPr>
      <w:r>
        <w:rPr>
          <w:sz w:val="21"/>
        </w:rPr>
        <w:t>2026年の住宅購入者からは、単なる「住まい」としての機能を超え、将来的な資産価値の維持・向上、そして断熱・気密性能によってもたらされる快適な居住空間への関心が明確に高まっています。これは、経済情勢やライフスタイルの変化を踏まえ、より長期的な視点で住まいを選ぼうとする顧客心理の表れと言えるでしょう。このニーズに応えるためには、省エネ性能の高さや、将来的なリセールバリューにつながるような住宅設計・仕様の提案が不可欠です。</w:t>
      </w:r>
    </w:p>
    <w:p>
      <w:pPr>
        <w:spacing w:before="120" w:after="40"/>
      </w:pPr>
      <w:r>
        <w:rPr>
          <w:b/>
          <w:sz w:val="21"/>
        </w:rPr>
        <w:t>■ 省エネ改修補助金の効果的な活用</w:t>
      </w:r>
    </w:p>
    <w:p>
      <w:pPr>
        <w:spacing w:line="312" w:lineRule="auto"/>
        <w:ind w:left="283"/>
      </w:pPr>
      <w:r>
        <w:rPr>
          <w:sz w:val="21"/>
        </w:rPr>
        <w:t>「子育てエコホーム支援事業」や「先進的窓リノベ事業」といった省エネ改修関連の補助金が、一部事業で公募継続されていることは、顧客への強力な後押しとなります。特に、断熱性能の向上や窓の改修は、まさに顧客が求める「快適性」と「資産性」に直結する部分です。これらの補助金を積極的に活用し、「今、省エネ改修を行うことが、将来的な資産価値向上とランニングコスト削減に繋がる『賢い投資』である」というメッセージを、価格上昇や金利上昇の懸念を払拭する形で伝えることが、受注獲得の鍵となります。申請期間や要件を細かく把握し、顧客にとって最もメリットのある提案を組み立てましょう。</w:t>
      </w:r>
    </w:p>
    <w:p>
      <w:pPr>
        <w:spacing w:before="200" w:after="80"/>
      </w:pPr>
      <w:r>
        <w:rPr>
          <w:b/>
          <w:color w:val="2E75B6"/>
          <w:sz w:val="25"/>
        </w:rPr>
        <w:t>金利上昇局面における「買い時感」の演出と、中堅・中小工務店の勝ち筋</w:t>
      </w:r>
    </w:p>
    <w:p>
      <w:pPr>
        <w:spacing w:before="120" w:after="40"/>
      </w:pPr>
      <w:r>
        <w:rPr>
          <w:b/>
          <w:sz w:val="21"/>
        </w:rPr>
        <w:t>■ 緩やかな金利上昇を「今こそ買い時」の機会へ転換</w:t>
      </w:r>
    </w:p>
    <w:p>
      <w:pPr>
        <w:spacing w:line="312" w:lineRule="auto"/>
        <w:ind w:left="283"/>
      </w:pPr>
      <w:r>
        <w:rPr>
          <w:sz w:val="21"/>
        </w:rPr>
        <w:t>2026年7月現在、住宅ローン金利は緩やかな上昇傾向にあります。この状況は、一部の顧客にとっては「金利が上がる前に」という「買い時感」を演出する絶好の機会となります。変動金利・固定金利それぞれの特性を丁寧に説明し、将来的な金利上昇リスクを具体的に提示することで、お客様の漠然としたお金の不安を解消し、むしろ「今」購入することのメリットを強調する営業トークが重要です。価格高騰や金利上昇をネガティブな要素として捉えるのではなく、お客様が「今、決断すべき理由」へと転換させる発想が、この時代に受注を伸ばすための根幹となります。</w:t>
      </w:r>
    </w:p>
    <w:p>
      <w:pPr>
        <w:spacing w:before="120" w:after="40"/>
      </w:pPr>
      <w:r>
        <w:rPr>
          <w:b/>
          <w:sz w:val="21"/>
        </w:rPr>
        <w:t>■ 高付加価値・断熱性能重視の需要回復を捉える</w:t>
      </w:r>
    </w:p>
    <w:p>
      <w:pPr>
        <w:spacing w:line="312" w:lineRule="auto"/>
        <w:ind w:left="283"/>
      </w:pPr>
      <w:r>
        <w:rPr>
          <w:sz w:val="21"/>
        </w:rPr>
        <w:t>一部の中堅・中小工務店において、2026年に入り受注件数に回復の兆しが見られる背景には、高付加価値住宅や断熱性能の高い住宅への需要が堅調であることが挙げられます。これは、冒頭で触れた顧客価値観の変化とも完全に合致しています。大手ハウスメーカーがDX推進で効率化を図る中、地域に根差した工務店だからこそできる、きめ細やかな顧客対応や、現場のリアルを活かした「職人の技」と、最新の省エネ技術を組み合わせた提案が、差別化に繋がります。お客様の「資産性」と「快適性」への関心に応えることで、価格競争に巻き込まれることなく、安定した受注を確保していくことが可能です。</w:t>
      </w:r>
    </w:p>
    <w:p>
      <w:pPr>
        <w:spacing w:before="120" w:after="40"/>
      </w:pPr>
      <w:r>
        <w:rPr>
          <w:b/>
          <w:sz w:val="21"/>
        </w:rPr>
        <w:t>■ SNSとオンライン相談で「顧客資産」を育む</w:t>
      </w:r>
    </w:p>
    <w:p>
      <w:pPr>
        <w:spacing w:line="312" w:lineRule="auto"/>
        <w:ind w:left="283"/>
      </w:pPr>
      <w:r>
        <w:rPr>
          <w:sz w:val="21"/>
        </w:rPr>
        <w:t>新規顧客獲得においては、SNSを活用した情報発信と、オンラインでの個別相談会の実施が効果を上げています。特に若年層や共働き世帯へのアプローチには、手軽に情報にアクセスできるSNSが有効です。ここで重要なのは、単なる集客ツールとしてだけでなく、お客様との中長期的な関係構築の入口として活用することです。イベント告知や、最新の建築物省エネ法改正への対応状況、補助金情報をタイムリーに発信することで、見込み客の関心を持続させ、「顧客資産」として育成していくことができます。集客が一時的に減少しても、こうした中長期的な顧客管理の仕組みが、安定した受注基盤を支えてくれるはずです。</w:t>
      </w:r>
    </w:p>
    <w:p/>
    <w:p>
      <w:pPr>
        <w:spacing w:line="312" w:lineRule="auto"/>
      </w:pPr>
      <w:r>
        <w:rPr>
          <w:color w:val="444444"/>
          <w:sz w:val="20"/>
        </w:rPr>
        <w:t>市場環境は変化しますが、顧客の根本的なニーズを捉え、それを満たすための具体的な提案を磨き続けることが、どのような時代でも受注を伸ばすための最善策です。補助金制度の活用、金利上昇局面での「買い時感」の演出、そして高付加価値住宅への需要に応えることで、貴社の持続的な成長を支援できるものと確信しております。</w:t>
        <w:br/>
        <w:t>あくまで情報提供としての事例共有であり、実施は十分ご検討のうえご対応ください。</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