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2E75B6"/>
        </w:pBdr>
      </w:pPr>
      <w:r>
        <w:rPr>
          <w:b/>
          <w:color w:val="1F3A5F"/>
          <w:sz w:val="32"/>
        </w:rPr>
        <w:t>【7月第4週】建材値上げ継続と省エネ基準義務化への注視</w:t>
      </w:r>
    </w:p>
    <w:p>
      <w:pPr>
        <w:jc w:val="right"/>
      </w:pPr>
      <w:r>
        <w:rPr>
          <w:color w:val="666666"/>
          <w:sz w:val="18"/>
        </w:rPr>
        <w:t>2026年07月28日</w:t>
      </w:r>
    </w:p>
    <w:p/>
    <w:p>
      <w:pPr>
        <w:spacing w:before="200" w:after="80"/>
      </w:pPr>
      <w:r>
        <w:rPr>
          <w:b/>
          <w:color w:val="2E75B6"/>
          <w:sz w:val="25"/>
        </w:rPr>
        <w:t>今週の住宅業界ニュース</w:t>
      </w:r>
    </w:p>
    <w:p>
      <w:pPr>
        <w:spacing w:before="120" w:after="40"/>
      </w:pPr>
      <w:r>
        <w:rPr>
          <w:b/>
          <w:sz w:val="21"/>
        </w:rPr>
        <w:t>■ 建材・設備の値上げ継続、一部メーカーは次期値上げも検討</w:t>
      </w:r>
    </w:p>
    <w:p>
      <w:pPr>
        <w:spacing w:line="312" w:lineRule="auto"/>
        <w:ind w:left="283"/>
      </w:pPr>
      <w:r>
        <w:rPr>
          <w:sz w:val="21"/>
        </w:rPr>
        <w:t>業界紙報道によると、建材および住宅設備の値上げが継続しています。一部メーカーでは、次期値上げの検討も報じられています。</w:t>
      </w:r>
    </w:p>
    <w:p>
      <w:pPr>
        <w:spacing w:before="120" w:after="40"/>
      </w:pPr>
      <w:r>
        <w:rPr>
          <w:b/>
          <w:sz w:val="21"/>
        </w:rPr>
        <w:t>■ 2026年7月時点、省エネ基準義務化の動向に注視が必要</w:t>
      </w:r>
    </w:p>
    <w:p>
      <w:pPr>
        <w:spacing w:line="312" w:lineRule="auto"/>
        <w:ind w:left="283"/>
      </w:pPr>
      <w:r>
        <w:rPr>
          <w:sz w:val="21"/>
        </w:rPr>
        <w:t>住宅金融支援機構の発表によると、2026年7月時点における省エネ基準義務化の動向が注目されています。</w:t>
      </w:r>
    </w:p>
    <w:p>
      <w:pPr>
        <w:spacing w:before="120" w:after="40"/>
      </w:pPr>
      <w:r>
        <w:rPr>
          <w:b/>
          <w:sz w:val="21"/>
        </w:rPr>
        <w:t>■ 注文住宅の受注動向、足元は回復基調も地域差あり</w:t>
      </w:r>
    </w:p>
    <w:p>
      <w:pPr>
        <w:spacing w:line="312" w:lineRule="auto"/>
        <w:ind w:left="283"/>
      </w:pPr>
      <w:r>
        <w:rPr>
          <w:sz w:val="21"/>
        </w:rPr>
        <w:t>業界紙報道では、注文住宅の受注動向は足元で回復基調にあるものの、地域によって差が見られる状況です。</w:t>
      </w:r>
    </w:p>
    <w:p>
      <w:pPr>
        <w:spacing w:before="120" w:after="40"/>
      </w:pPr>
      <w:r>
        <w:rPr>
          <w:b/>
          <w:sz w:val="21"/>
        </w:rPr>
        <w:t>■ 建設業の倒産件数は高水準、中小工務店で注意喚起</w:t>
      </w:r>
    </w:p>
    <w:p>
      <w:pPr>
        <w:spacing w:line="312" w:lineRule="auto"/>
        <w:ind w:left="283"/>
      </w:pPr>
      <w:r>
        <w:rPr>
          <w:sz w:val="21"/>
        </w:rPr>
        <w:t>東京商工リサーチの発表によると、建設業の倒産件数は依然として高水準で推移しており、特に中小規模の工務店において注意が必要な状況となっています。</w:t>
      </w:r>
    </w:p>
    <w:p>
      <w:pPr>
        <w:spacing w:before="200" w:after="80"/>
      </w:pPr>
      <w:r>
        <w:rPr>
          <w:b/>
          <w:color w:val="2E75B6"/>
          <w:sz w:val="25"/>
        </w:rPr>
        <w:t>市況感概要（定点観測）</w:t>
      </w:r>
    </w:p>
    <w:p>
      <w:pPr>
        <w:spacing w:before="120" w:after="40"/>
      </w:pPr>
      <w:r>
        <w:rPr>
          <w:b/>
          <w:sz w:val="21"/>
        </w:rPr>
        <w:t>■ 住宅ローン金利動向</w:t>
      </w:r>
    </w:p>
    <w:p>
      <w:pPr>
        <w:spacing w:line="312" w:lineRule="auto"/>
        <w:ind w:left="283"/>
      </w:pPr>
      <w:r>
        <w:rPr>
          <w:sz w:val="21"/>
        </w:rPr>
        <w:t>住宅ローン金利は横ばい傾向で推移しています。変動金利の動向が注目されています。（出典: モゲチェック）</w:t>
      </w:r>
    </w:p>
    <w:p>
      <w:pPr>
        <w:spacing w:before="120" w:after="40"/>
      </w:pPr>
      <w:r>
        <w:rPr>
          <w:b/>
          <w:sz w:val="21"/>
        </w:rPr>
        <w:t>■ ハウスメーカー受注速報</w:t>
      </w:r>
    </w:p>
    <w:p>
      <w:pPr>
        <w:spacing w:line="312" w:lineRule="auto"/>
        <w:ind w:left="283"/>
      </w:pPr>
      <w:r>
        <w:rPr>
          <w:sz w:val="21"/>
        </w:rPr>
        <w:t>（※今週、注文住宅の受注動向に関する最新の速報データが公開されていないため、本項目は省略します。）</w:t>
      </w:r>
    </w:p>
    <w:p>
      <w:pPr>
        <w:spacing w:before="120" w:after="40"/>
      </w:pPr>
      <w:r>
        <w:rPr>
          <w:b/>
          <w:sz w:val="21"/>
        </w:rPr>
        <w:t>■ 住宅展示場来場数</w:t>
      </w:r>
    </w:p>
    <w:p>
      <w:pPr>
        <w:spacing w:line="312" w:lineRule="auto"/>
        <w:ind w:left="283"/>
      </w:pPr>
      <w:r>
        <w:rPr>
          <w:sz w:val="21"/>
        </w:rPr>
        <w:t>住宅展示場の来場者数は堅調な状況ですが、オンライン相談の利用も増加傾向にあります。（出典: 新建ハウジング）</w:t>
      </w:r>
    </w:p>
    <w:p>
      <w:pPr>
        <w:spacing w:before="120" w:after="40"/>
      </w:pPr>
      <w:r>
        <w:rPr>
          <w:b/>
          <w:sz w:val="21"/>
        </w:rPr>
        <w:t>■ 建設業の倒産件数</w:t>
      </w:r>
    </w:p>
    <w:p>
      <w:pPr>
        <w:spacing w:line="312" w:lineRule="auto"/>
        <w:ind w:left="283"/>
      </w:pPr>
      <w:r>
        <w:rPr>
          <w:sz w:val="21"/>
        </w:rPr>
        <w:t>建設業の倒産件数は依然として高水準で推移しています。特に中小工務店での注意が必要な状況です。（出典: 東京商工リサーチ）</w:t>
      </w:r>
    </w:p>
    <w:p>
      <w:pPr>
        <w:spacing w:before="200" w:after="80"/>
      </w:pPr>
      <w:r>
        <w:rPr>
          <w:b/>
          <w:color w:val="2E75B6"/>
          <w:sz w:val="25"/>
        </w:rPr>
        <w:t>まとめ</w:t>
      </w:r>
    </w:p>
    <w:p/>
    <w:p>
      <w:pPr>
        <w:pBdr>
          <w:bottom w:val="single" w:sz="4" w:space="1" w:color="CCCCCC"/>
        </w:pBdr>
      </w:pPr>
    </w:p>
    <w:p>
      <w:pPr>
        <w:spacing w:after="0"/>
      </w:pPr>
      <w:r>
        <w:rPr>
          <w:color w:val="666666"/>
          <w:sz w:val="18"/>
        </w:rPr>
        <w:t>MARKEY CONSULTING</w:t>
      </w:r>
    </w:p>
    <w:p>
      <w:pPr>
        <w:spacing w:after="0"/>
      </w:pPr>
      <w:r>
        <w:rPr>
          <w:color w:val="666666"/>
          <w:sz w:val="18"/>
        </w:rPr>
        <w:t>代表　鶴田　槙人</w:t>
      </w:r>
    </w:p>
    <w:p>
      <w:pPr>
        <w:spacing w:after="0"/>
      </w:pPr>
      <w:r>
        <w:rPr>
          <w:color w:val="666666"/>
          <w:sz w:val="18"/>
        </w:rPr>
        <w:t>https://markey-consulting.com/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