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2E75B6"/>
        </w:pBdr>
      </w:pPr>
      <w:r>
        <w:rPr>
          <w:b/>
          <w:color w:val="1F3A5F"/>
          <w:sz w:val="32"/>
        </w:rPr>
        <w:t>住宅市場動向と金利・補助金最新情報 – 変化の波を捉え、持続的な成長を目指すための羅針盤</w:t>
      </w:r>
    </w:p>
    <w:p>
      <w:pPr>
        <w:jc w:val="right"/>
      </w:pPr>
      <w:r>
        <w:rPr>
          <w:color w:val="666666"/>
          <w:sz w:val="18"/>
        </w:rPr>
        <w:t>2026年07月01日</w:t>
      </w:r>
    </w:p>
    <w:p/>
    <w:p>
      <w:pPr>
        <w:spacing w:before="200" w:after="80"/>
      </w:pPr>
      <w:r>
        <w:rPr>
          <w:b/>
          <w:color w:val="2E75B6"/>
          <w:sz w:val="25"/>
        </w:rPr>
        <w:t>金利・補助金動向と「買い時感」の演出</w:t>
      </w:r>
    </w:p>
    <w:p>
      <w:pPr>
        <w:spacing w:before="120" w:after="40"/>
      </w:pPr>
      <w:r>
        <w:rPr>
          <w:b/>
          <w:sz w:val="21"/>
        </w:rPr>
        <w:t>■ 低金利継続と今後の見通し</w:t>
      </w:r>
    </w:p>
    <w:p>
      <w:pPr>
        <w:spacing w:line="312" w:lineRule="auto"/>
        <w:ind w:left="283"/>
      </w:pPr>
      <w:r>
        <w:rPr>
          <w:sz w:val="21"/>
        </w:rPr>
        <w:t>6月の住宅ローン金利は、変動金利が据え置かれる一方、一部金融機関では低下傾向も見られました。この低金利環境は住宅購入者にとって追い風ですが、7月以降の動向は注視が必要です。価格上昇が続く現状では、低金利を「今こそ購入のチャンス」と捉えるお客様への後押し材料となり得ます。金利上昇リスクへの具体的な説明と、それに備えるための返済計画シミュレーションを提示することで、お客様の「買い時感」をより一層高め、購入への決断を後押しできるでしょう。</w:t>
      </w:r>
    </w:p>
    <w:p>
      <w:pPr>
        <w:spacing w:before="120" w:after="40"/>
      </w:pPr>
      <w:r>
        <w:rPr>
          <w:b/>
          <w:sz w:val="21"/>
        </w:rPr>
        <w:t>■ 省エネ住宅への追い風と受注増のチャンス</w:t>
      </w:r>
    </w:p>
    <w:p>
      <w:pPr>
        <w:spacing w:line="312" w:lineRule="auto"/>
        <w:ind w:left="283"/>
      </w:pPr>
      <w:r>
        <w:rPr>
          <w:sz w:val="21"/>
        </w:rPr>
        <w:t>2026年度拡充された「こどもエコすまい支援事業」では、公募要件の緩和が発表され、省エネ住宅への追い風が強まっています。これは、品質と性能を重視するお客様層へのアピール機会であり、当社の強みを活かした省エネ性能の高い住宅を積極的に提案することで、新たな受注獲得に繋がる可能性が高いです。補助金制度を最大限に活用した提案は、お客様の初期費用負担軽減だけでなく、長期的なランニングコスト削減にも貢献するため、USP（独自の強み）として明確に訴求することが重要です。</w:t>
      </w:r>
    </w:p>
    <w:p>
      <w:pPr>
        <w:spacing w:before="200" w:after="80"/>
      </w:pPr>
      <w:r>
        <w:rPr>
          <w:b/>
          <w:color w:val="2E75B6"/>
          <w:sz w:val="25"/>
        </w:rPr>
        <w:t>市場の課題と「選ばれる理由」の再定義</w:t>
      </w:r>
    </w:p>
    <w:p>
      <w:pPr>
        <w:spacing w:before="120" w:after="40"/>
      </w:pPr>
      <w:r>
        <w:rPr>
          <w:b/>
          <w:sz w:val="21"/>
        </w:rPr>
        <w:t>■ 資材高騰・人手不足の「現場リアル」と原価管理の重要性</w:t>
      </w:r>
    </w:p>
    <w:p>
      <w:pPr>
        <w:spacing w:line="312" w:lineRule="auto"/>
        <w:ind w:left="283"/>
      </w:pPr>
      <w:r>
        <w:rPr>
          <w:sz w:val="21"/>
        </w:rPr>
        <w:t>2026年4月の住宅着工戸数は前年同月比で微減となり、資材価格の高止まりや人手不足が影響している可能性が示唆されています。主要建材の価格は円安や国際情勢の影響で依然高値圏にあり、一部資材では供給遅延も報告されている状況です。このような環境下では、原価管理の徹底はもちろんのこと、発注タイミングの見極めや、代替資材の検討など、より戦略的な調達が求められます。お客様への価格提示においては、この市場背景を丁寧に説明し、それでもなお当社の家が選ばれるべき「価値」を、設計の工夫や工期の遵守、品質へのこだわりといった具体的な要素で訴求していくことが不可欠です。</w:t>
      </w:r>
    </w:p>
    <w:p>
      <w:pPr>
        <w:spacing w:before="120" w:after="40"/>
      </w:pPr>
      <w:r>
        <w:rPr>
          <w:b/>
          <w:sz w:val="21"/>
        </w:rPr>
        <w:t>■ 競合のデジタルシフトと顧客接点の多様化</w:t>
      </w:r>
    </w:p>
    <w:p>
      <w:pPr>
        <w:spacing w:line="312" w:lineRule="auto"/>
        <w:ind w:left="283"/>
      </w:pPr>
      <w:r>
        <w:rPr>
          <w:sz w:val="21"/>
        </w:rPr>
        <w:t>大手ハウスメーカー各社は、デジタルマーケティングの強化とVR内覧サービスの導入を加速させています。これは、顧客接点の多様化と業務効率化を追求する動きであり、私たちもこれらのトレンドを自社に取り入れることを検討すべきです。例えば、VR内覧は遠方のお客様や、多忙で展示場に足を運ぶ時間がないお客様にとって、物件への関心を高める強力なツールとなり得ます。また、Instagram広告における動画コンテンツの活用など、ターゲット層に合わせたクリエイティブ制作と継続的な情報発信は、潜在顧客へのリーチを拡大し、集客力強化に繋がると考えられます。</w:t>
      </w:r>
    </w:p>
    <w:p>
      <w:pPr>
        <w:spacing w:before="120" w:after="40"/>
      </w:pPr>
      <w:r>
        <w:rPr>
          <w:b/>
          <w:sz w:val="21"/>
        </w:rPr>
        <w:t>■ 顧客ニーズの変化と「暮らしやすい」価値の提供</w:t>
      </w:r>
    </w:p>
    <w:p>
      <w:pPr>
        <w:spacing w:line="312" w:lineRule="auto"/>
        <w:ind w:left="283"/>
      </w:pPr>
      <w:r>
        <w:rPr>
          <w:sz w:val="21"/>
        </w:rPr>
        <w:t>子育て世代を中心に、共働き夫婦が暮らしやすい動線、収納、テレワークスペースへの関心が高まっています。多様化するライフスタイルに対応できる住宅設計は、現代の顧客ニーズに合致しており、当社の強みを発揮できる領域です。単に間取りを設計するだけでなく、お客様の日常の動きや家族構成の変化を見据えた、きめ細やかな提案こそが、価格以上の「価値」としてお客様に響き、当社のUSPを確立する鍵となります。土地探しからサポートできる体制を強化し、中長期的な視点でお客様との関係を構築していくことが、これからの受注強化に繋がるでしょう。</w:t>
      </w:r>
    </w:p>
    <w:p/>
    <w:p>
      <w:pPr>
        <w:spacing w:line="312" w:lineRule="auto"/>
      </w:pPr>
      <w:r>
        <w:rPr>
          <w:color w:val="444444"/>
          <w:sz w:val="20"/>
        </w:rPr>
        <w:t>市場環境は変化の時を迎えていますが、低金利や補助金制度の活用、そして変化する顧客ニーズへの的確な対応は、新たな成長機会を生み出す可能性を秘めています。価格上昇を「今が買い時」と捉え直し、当社の確固たるUSP（独自の強み）を徹底的に訴求することで、価格ではなく価値で選ばれる住宅会社を目指しましょう。</w:t>
        <w:br/>
        <w:t>あくまで情報提供としての事例共有であり、実施は十分ご検討のうえご対応ください。</w:t>
      </w:r>
    </w:p>
    <w:p/>
    <w:p>
      <w:pPr>
        <w:pBdr>
          <w:bottom w:val="single" w:sz="4" w:space="1" w:color="CCCCCC"/>
        </w:pBdr>
      </w:pPr>
    </w:p>
    <w:p>
      <w:pPr>
        <w:spacing w:after="0"/>
      </w:pPr>
      <w:r>
        <w:rPr>
          <w:color w:val="666666"/>
          <w:sz w:val="18"/>
        </w:rPr>
        <w:t>MARKEY CONSULTING</w:t>
      </w:r>
    </w:p>
    <w:p>
      <w:pPr>
        <w:spacing w:after="0"/>
      </w:pPr>
      <w:r>
        <w:rPr>
          <w:color w:val="666666"/>
          <w:sz w:val="18"/>
        </w:rPr>
        <w:t>代表　鶴田　槙人</w:t>
      </w:r>
    </w:p>
    <w:p>
      <w:pPr>
        <w:spacing w:after="0"/>
      </w:pPr>
      <w:r>
        <w:rPr>
          <w:color w:val="666666"/>
          <w:sz w:val="18"/>
        </w:rPr>
        <w:t>https://markey-consulting.com/</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