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注文住宅市場の最新動向と戦略：2026年7月週次市場レポート</w:t>
      </w:r>
    </w:p>
    <w:p>
      <w:pPr>
        <w:jc w:val="right"/>
      </w:pPr>
      <w:r>
        <w:rPr>
          <w:color w:val="666666"/>
          <w:sz w:val="18"/>
        </w:rPr>
        <w:t>2026年07月17日</w:t>
      </w:r>
    </w:p>
    <w:p/>
    <w:p>
      <w:pPr>
        <w:spacing w:before="200" w:after="80"/>
      </w:pPr>
      <w:r>
        <w:rPr>
          <w:b/>
          <w:color w:val="2E75B6"/>
          <w:sz w:val="25"/>
        </w:rPr>
        <w:t>今週の住宅業界ニュース</w:t>
      </w:r>
    </w:p>
    <w:p>
      <w:pPr>
        <w:spacing w:before="120" w:after="40"/>
      </w:pPr>
      <w:r>
        <w:rPr>
          <w:b/>
          <w:sz w:val="21"/>
        </w:rPr>
        <w:t>■ 省エネ基準適合義務化、建築コストへの影響が一部で報告される</w:t>
      </w:r>
    </w:p>
    <w:p>
      <w:pPr>
        <w:spacing w:line="312" w:lineRule="auto"/>
        <w:ind w:left="283"/>
      </w:pPr>
      <w:r>
        <w:rPr>
          <w:sz w:val="21"/>
        </w:rPr>
        <w:t>2025年4月に施行された省エネ基準適合義務化に対し、多くのハウスメーカーが対応を進めています。一部では、断熱性能向上に伴う建築コストへの影響が報告されています。(出典: 住宅産業新聞)</w:t>
      </w:r>
    </w:p>
    <w:p>
      <w:pPr>
        <w:spacing w:before="120" w:after="40"/>
      </w:pPr>
      <w:r>
        <w:rPr>
          <w:b/>
          <w:sz w:val="21"/>
        </w:rPr>
        <w:t>■ 都市部での地価上昇、注文住宅用地取得に影響</w:t>
      </w:r>
    </w:p>
    <w:p>
      <w:pPr>
        <w:spacing w:line="312" w:lineRule="auto"/>
        <w:ind w:left="283"/>
      </w:pPr>
      <w:r>
        <w:rPr>
          <w:sz w:val="21"/>
        </w:rPr>
        <w:t>2026年に入り、都市部を中心に地価の上昇が顕著になっています。これにより、注文住宅用地の取得が困難になるケースが見られ、郊外や地方での土地探しが活発化する動きも出ています。(出典: 不動産経済研究所)</w:t>
      </w:r>
    </w:p>
    <w:p>
      <w:pPr>
        <w:spacing w:before="120" w:after="40"/>
      </w:pPr>
      <w:r>
        <w:rPr>
          <w:b/>
          <w:sz w:val="21"/>
        </w:rPr>
        <w:t>■ 大手ハウスメーカー、デジタルシフトによる顧客接点強化を加速</w:t>
      </w:r>
    </w:p>
    <w:p>
      <w:pPr>
        <w:spacing w:line="312" w:lineRule="auto"/>
        <w:ind w:left="283"/>
      </w:pPr>
      <w:r>
        <w:rPr>
          <w:sz w:val="21"/>
        </w:rPr>
        <w:t>主要なハウスメーカーは、オンライン商談システムやVRによるモデルルーム体験など、デジタル技術を活用した顧客接点の強化を進めています。これにより、展示場来場客数の増加や成約率向上を目指しています。(出典: 各社IR情報)</w:t>
      </w:r>
    </w:p>
    <w:p>
      <w:pPr>
        <w:spacing w:before="120" w:after="40"/>
      </w:pPr>
      <w:r>
        <w:rPr>
          <w:b/>
          <w:sz w:val="21"/>
        </w:rPr>
        <w:t>■ 住宅ローン審査、金利上昇リスクへの対応がより慎重に</w:t>
      </w:r>
    </w:p>
    <w:p>
      <w:pPr>
        <w:spacing w:line="312" w:lineRule="auto"/>
        <w:ind w:left="283"/>
      </w:pPr>
      <w:r>
        <w:rPr>
          <w:sz w:val="21"/>
        </w:rPr>
        <w:t>金融機関は、住宅ローン審査において、将来的な金利上昇リスクを考慮した返済能力の評価をより慎重に行う傾向が強まっています。(出典: 金融庁)</w:t>
      </w:r>
    </w:p>
    <w:p>
      <w:pPr>
        <w:spacing w:before="200" w:after="80"/>
      </w:pPr>
      <w:r>
        <w:rPr>
          <w:b/>
          <w:color w:val="2E75B6"/>
          <w:sz w:val="25"/>
        </w:rPr>
        <w:t>市況感概要（定点観測）</w:t>
      </w:r>
    </w:p>
    <w:p>
      <w:pPr>
        <w:spacing w:before="120" w:after="40"/>
      </w:pPr>
      <w:r>
        <w:rPr>
          <w:b/>
          <w:sz w:val="21"/>
        </w:rPr>
        <w:t>■ 住宅ローン金利動向</w:t>
      </w:r>
    </w:p>
    <w:p>
      <w:pPr>
        <w:spacing w:line="312" w:lineRule="auto"/>
        <w:ind w:left="283"/>
      </w:pPr>
      <w:r>
        <w:rPr>
          <w:sz w:val="21"/>
        </w:rPr>
        <w:t>2026年7月現在、主要金融機関の住宅ローン金利は、変動金利・固定金利ともに低位での推移が続いています。フラット35の金利も市場の安定を受けて、借り換えや新規融資にとって有利な状況が継続しています。(出典: 各社発表資料、報道)</w:t>
      </w:r>
    </w:p>
    <w:p>
      <w:pPr>
        <w:spacing w:before="120" w:after="40"/>
      </w:pPr>
      <w:r>
        <w:rPr>
          <w:b/>
          <w:sz w:val="21"/>
        </w:rPr>
        <w:t>■ 建材・設備価格</w:t>
      </w:r>
    </w:p>
    <w:p>
      <w:pPr>
        <w:spacing w:line="312" w:lineRule="auto"/>
        <w:ind w:left="283"/>
      </w:pPr>
      <w:r>
        <w:rPr>
          <w:sz w:val="21"/>
        </w:rPr>
        <w:t>2026年7月時点の建材・住宅設備機器の価格は、一部の輸入品や特殊な素材において、依然として高止まりする傾向が見られます。大手メーカーによる仕入れ努力で、全体的な価格上昇は抑制されています。(出典: 建設通信新聞)</w:t>
      </w:r>
    </w:p>
    <w:p>
      <w:pPr>
        <w:spacing w:before="120" w:after="40"/>
      </w:pPr>
      <w:r>
        <w:rPr>
          <w:b/>
          <w:sz w:val="21"/>
        </w:rPr>
        <w:t>■ 補助金制度</w:t>
      </w:r>
    </w:p>
    <w:p>
      <w:pPr>
        <w:spacing w:line="312" w:lineRule="auto"/>
        <w:ind w:left="283"/>
      </w:pPr>
      <w:r>
        <w:rPr>
          <w:sz w:val="21"/>
        </w:rPr>
        <w:t>国は、省エネ性能の高い新築住宅や既存住宅の改修に対する補助金制度を継続しています。これは注文住宅事業者にとって、顧客への提案材料として活用されています。(出典: 国土交通省)</w:t>
      </w:r>
    </w:p>
    <w:p>
      <w:pPr>
        <w:spacing w:before="120" w:after="40"/>
      </w:pPr>
      <w:r>
        <w:rPr>
          <w:b/>
          <w:sz w:val="21"/>
        </w:rPr>
        <w:t>■ 建設業の人手不足対策</w:t>
      </w:r>
    </w:p>
    <w:p>
      <w:pPr>
        <w:spacing w:line="312" w:lineRule="auto"/>
        <w:ind w:left="283"/>
      </w:pPr>
      <w:r>
        <w:rPr>
          <w:sz w:val="21"/>
        </w:rPr>
        <w:t>建設業界全体で深刻化する人手不足に対し、特定技能外国人の受け入れ拡大に向けた議論が進められています。長期的な施工体制の安定化が期待されています。(出典: 日刊建設工業新聞)</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