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2026年6月度市場環境レポート：金利急騰と建材高騰が加速する事業環境と対応策</w:t>
      </w:r>
    </w:p>
    <w:p>
      <w:pPr>
        <w:jc w:val="right"/>
      </w:pPr>
      <w:r>
        <w:rPr>
          <w:color w:val="666666"/>
          <w:sz w:val="18"/>
        </w:rPr>
        <w:t>2026年06月17日</w:t>
      </w:r>
    </w:p>
    <w:p/>
    <w:p>
      <w:pPr>
        <w:spacing w:before="200" w:after="80"/>
      </w:pPr>
      <w:r>
        <w:rPr>
          <w:b/>
          <w:color w:val="2E75B6"/>
          <w:sz w:val="25"/>
        </w:rPr>
        <w:t>住宅取得コスト高騰と市場需要への影響</w:t>
      </w:r>
    </w:p>
    <w:p>
      <w:pPr>
        <w:spacing w:before="120" w:after="40"/>
      </w:pPr>
      <w:r>
        <w:rPr>
          <w:b/>
          <w:sz w:val="21"/>
        </w:rPr>
        <w:t>■ 住宅ローン金利の急騰と顧客資金計画の複雑化</w:t>
      </w:r>
    </w:p>
    <w:p>
      <w:pPr>
        <w:spacing w:line="312" w:lineRule="auto"/>
        <w:ind w:left="283"/>
      </w:pPr>
      <w:r>
        <w:rPr>
          <w:sz w:val="21"/>
        </w:rPr>
        <w:t>日本銀行の政策金利引き上げにより、固定金利型住宅ローン（フラット35など）は3%を超える水準に達し、全期間固定金利の上昇は過去最大級となりました。住宅購入者の返済負担増は需要減退の脅威となりますが、変動金利型との金利差拡大は、顧客への丁寧な説明と最適な金利タイプ提案の重要性を高める機会とも捉えられます。</w:t>
      </w:r>
    </w:p>
    <w:p>
      <w:pPr>
        <w:spacing w:before="120" w:after="40"/>
      </w:pPr>
      <w:r>
        <w:rPr>
          <w:b/>
          <w:sz w:val="21"/>
        </w:rPr>
        <w:t>■ 建築資材価格の高止まりと供給課題</w:t>
      </w:r>
    </w:p>
    <w:p>
      <w:pPr>
        <w:spacing w:line="312" w:lineRule="auto"/>
        <w:ind w:left="283"/>
      </w:pPr>
      <w:r>
        <w:rPr>
          <w:sz w:val="21"/>
        </w:rPr>
        <w:t>建設資材価格指数は4カ月連続で過去最高値を更新しており、特に建築指数はウッドショック時以来の高水準が続いております。ナフサショックを背景とした石油系資材、塗料、断熱材などの値上げ・受注制限も継続しており、円安基調の長期化が輸入材・設備価格をさらに押し上げている状況です。コスト増加と工期遅延のリスクが高まるため、代替材の検討やサプライヤーとの価格交渉が不可欠となります。</w:t>
      </w:r>
    </w:p>
    <w:p>
      <w:pPr>
        <w:spacing w:before="120" w:after="40"/>
      </w:pPr>
      <w:r>
        <w:rPr>
          <w:b/>
          <w:sz w:val="21"/>
        </w:rPr>
        <w:t>■ 新設住宅着工の低調と市場縮小リスク</w:t>
      </w:r>
    </w:p>
    <w:p>
      <w:pPr>
        <w:spacing w:line="312" w:lineRule="auto"/>
        <w:ind w:left="283"/>
      </w:pPr>
      <w:r>
        <w:rPr>
          <w:sz w:val="21"/>
        </w:rPr>
        <w:t>2026年2月の新設住宅着工戸数は前年同月比4.9%減、持家も4.7%減と厳しい結果となり、4月には増加に転じたものの市場予想を下回りました。全体的な市場の縮小傾向は受注競争の激化を招き、経営の多角化やターゲット層の見直しが求められる状況です。具体的なデータに基づいた戦略的な営業活動が、今後一層重要になると考えられます。</w:t>
      </w:r>
    </w:p>
    <w:p>
      <w:pPr>
        <w:spacing w:before="200" w:after="80"/>
      </w:pPr>
      <w:r>
        <w:rPr>
          <w:b/>
          <w:color w:val="2E75B6"/>
          <w:sz w:val="25"/>
        </w:rPr>
        <w:t>変化する顧客ニーズと事業運営の最適化</w:t>
      </w:r>
    </w:p>
    <w:p>
      <w:pPr>
        <w:spacing w:before="120" w:after="40"/>
      </w:pPr>
      <w:r>
        <w:rPr>
          <w:b/>
          <w:sz w:val="21"/>
        </w:rPr>
        <w:t>■ 省エネ・高性能住宅への需要増と差別化戦略</w:t>
      </w:r>
    </w:p>
    <w:p>
      <w:pPr>
        <w:spacing w:line="312" w:lineRule="auto"/>
        <w:ind w:left="283"/>
      </w:pPr>
      <w:r>
        <w:rPr>
          <w:sz w:val="21"/>
        </w:rPr>
        <w:t>金利や光熱費高騰を受け、消費者の間で「建てた後のコスト（光熱費、メンテナンス費）」への意識が顕著に高まっています。断熱等級5～6やZEH水準の高性能住宅が「標準」となる傾向にあり、これを機に高性能住宅の提供体制を整えている住宅会社様は、競争優位性を確立し、顧客からの信頼を得る大きなチャンスとなります。高価格帯でも長期的なメリットを訴求するマーケティングが効果的です。</w:t>
      </w:r>
    </w:p>
    <w:p>
      <w:pPr>
        <w:spacing w:before="120" w:after="40"/>
      </w:pPr>
      <w:r>
        <w:rPr>
          <w:b/>
          <w:sz w:val="21"/>
        </w:rPr>
        <w:t>■ 労働力不足と生産性向上への緊急性</w:t>
      </w:r>
    </w:p>
    <w:p>
      <w:pPr>
        <w:spacing w:line="312" w:lineRule="auto"/>
        <w:ind w:left="283"/>
      </w:pPr>
      <w:r>
        <w:rPr>
          <w:sz w:val="21"/>
        </w:rPr>
        <w:t>建設業の有効求人倍率は依然として高い水準で推移しており、人件費の高騰が経営を圧迫しています。2025年の法改正による確認申請リードタイムの長期化も重なり、施工体制の維持・強化は困難さを増しております。工期や品質への影響を最小限に抑えるため、生産性向上への先行投資、特に工程管理の最適化や技術導入が急務であると認識しております。</w:t>
      </w:r>
    </w:p>
    <w:p>
      <w:pPr>
        <w:spacing w:before="120" w:after="40"/>
      </w:pPr>
      <w:r>
        <w:rPr>
          <w:b/>
          <w:sz w:val="21"/>
        </w:rPr>
        <w:t>■ DX推進による事業変革の機会</w:t>
      </w:r>
    </w:p>
    <w:p>
      <w:pPr>
        <w:spacing w:line="312" w:lineRule="auto"/>
        <w:ind w:left="283"/>
      </w:pPr>
      <w:r>
        <w:rPr>
          <w:sz w:val="21"/>
        </w:rPr>
        <w:t>労働集約型のビジネスモデルからの脱却は、もはや待ったなしの状況です。デジタル技術を活用した営業・集客、施工・現場管理、経営の効率化は、事業継続と成長の鍵を握ります。積極的にDXを推進する住宅会社様は、人手不足を補い、高利益・高生産性を実現できる可能性があります。CRMシステム導入による顧客管理の効率化や、BIM/CIM活用による設計・施工連携の強化など、具体的な施策の検討を推奨いたします。</w:t>
      </w:r>
    </w:p>
    <w:p/>
    <w:p>
      <w:pPr>
        <w:spacing w:line="312" w:lineRule="auto"/>
      </w:pPr>
      <w:r>
        <w:rPr>
          <w:color w:val="444444"/>
          <w:sz w:val="20"/>
        </w:rPr>
        <w:t>厳しい市場環境が続く中、コストコントロールと高性能住宅による差別化、そして生産性向上への投資が、今後の事業継続と成長の鍵を握ると考えられます。</w:t>
        <w:br/>
        <w:t>あくまで情報提供としての事例共有であり、実施は十分ご検討のうえご対応ください。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