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Bdr>
          <w:bottom w:val="single" w:sz="6" w:space="1" w:color="2E75B6"/>
        </w:pBdr>
      </w:pPr>
      <w:r>
        <w:rPr>
          <w:b/>
          <w:color w:val="1F3A5F"/>
          <w:sz w:val="32"/>
        </w:rPr>
        <w:t>金利・建材高騰長期化下における経営戦略の再構築 ～2026年後半の市場動向と実践的アプローチ～</w:t>
      </w:r>
    </w:p>
    <w:p>
      <w:pPr>
        <w:jc w:val="right"/>
      </w:pPr>
      <w:r>
        <w:rPr>
          <w:color w:val="666666"/>
          <w:sz w:val="18"/>
        </w:rPr>
        <w:t>2026年06月19日</w:t>
      </w:r>
    </w:p>
    <w:p/>
    <w:p>
      <w:pPr>
        <w:spacing w:before="200" w:after="80"/>
      </w:pPr>
      <w:r>
        <w:rPr>
          <w:b/>
          <w:color w:val="2E75B6"/>
          <w:sz w:val="25"/>
        </w:rPr>
        <w:t>資金計画への影響と集客・商談フェーズでの対応</w:t>
      </w:r>
    </w:p>
    <w:p>
      <w:pPr>
        <w:spacing w:before="120" w:after="40"/>
      </w:pPr>
      <w:r>
        <w:rPr>
          <w:b/>
          <w:sz w:val="21"/>
        </w:rPr>
        <w:t>■ 住宅ローン金利の緩やかな上昇傾向と顧客心理の変化</w:t>
      </w:r>
    </w:p>
    <w:p>
      <w:pPr>
        <w:spacing w:line="312" w:lineRule="auto"/>
        <w:ind w:left="283"/>
      </w:pPr>
      <w:r>
        <w:rPr>
          <w:sz w:val="21"/>
        </w:rPr>
        <w:t>2026年6月現在、主要銀行の住宅ローン金利は変動0.7%台、10年固定1.7%台で推移しており、緩やかな上昇傾向が継続しています。この金利水準は、住宅取得の判断に慎重さを求める顧客層、特に高額所得者層以外への影響が顕著になり始めています。具体的には、これまで「変動金利なら無理なく購入できた」層が、月々の返済額増加を懸念し、契約を保留するケースや、より低価格帯の物件を検討する動きが見られます。営業担当者は、単に金利上昇を伝えるだけでなく、返済シミュレーションの提示や、将来的な金利変動リスクを考慮した資金計画の複数パターンの提示、さらには住宅ローンの固定金利や期間選択によるメリット・デメリットを丁寧に解説し、顧客の不安を払拭する質の高い商談が求められます。</w:t>
      </w:r>
    </w:p>
    <w:p>
      <w:pPr>
        <w:spacing w:before="120" w:after="40"/>
      </w:pPr>
      <w:r>
        <w:rPr>
          <w:b/>
          <w:sz w:val="21"/>
        </w:rPr>
        <w:t>■ 建材価格上昇の原価・見積への影響と価格戦略</w:t>
      </w:r>
    </w:p>
    <w:p>
      <w:pPr>
        <w:spacing w:line="312" w:lineRule="auto"/>
        <w:ind w:left="283"/>
      </w:pPr>
      <w:r>
        <w:rPr>
          <w:sz w:val="21"/>
        </w:rPr>
        <w:t>木材、断熱材、鋼材といった主要建材の価格は、円安や国際情勢の影響を受け、2026年に入り継続的な上昇圧力が続いており、一部資材では前月比2〜3%の上昇が観測されています。これにより、標準仕様での建築コストが上昇し、粗利率の維持が困難になるケースが増加しています。大手ハウスメーカーが値上げ幅の抑制や商品ラインナップ強化で対応しているように、我々としても、単なる「値上げ」に留まらない価格戦略が必要です。例えば、標準仕様の省エネ性能をさらに高めることで、将来的な光熱費削減という「価値」を訴求し、価格上昇分を相殺する提案を行う、あるいは、ITを活用した業務効率化で間接コストを削減し、原価上昇分の一部を吸収する努力を継続することが重要です。また、顧客には建材高騰の背景と、自社がどのようにコスト吸収に努めているかを透明性を持って説明することが、信頼関係の維持に繋がります。</w:t>
      </w:r>
    </w:p>
    <w:p>
      <w:pPr>
        <w:spacing w:before="200" w:after="80"/>
      </w:pPr>
      <w:r>
        <w:rPr>
          <w:b/>
          <w:color w:val="2E75B6"/>
          <w:sz w:val="25"/>
        </w:rPr>
        <w:t>執行フェーズにおける生産性向上と事業継続性の確保</w:t>
      </w:r>
    </w:p>
    <w:p>
      <w:pPr>
        <w:spacing w:before="120" w:after="40"/>
      </w:pPr>
      <w:r>
        <w:rPr>
          <w:b/>
          <w:sz w:val="21"/>
        </w:rPr>
        <w:t>■ 省エネ基準義務化定着への対応とZEH化投資の負担軽減策</w:t>
      </w:r>
    </w:p>
    <w:p>
      <w:pPr>
        <w:spacing w:line="312" w:lineRule="auto"/>
        <w:ind w:left="283"/>
      </w:pPr>
      <w:r>
        <w:rPr>
          <w:sz w:val="21"/>
        </w:rPr>
        <w:t>2025年4月施行の省エネ基準義務化は、2026年現在、一定の定着を見せていますが、一部中小工務店では未だ対応に遅れが見られ、ZEH化への初期投資負担が経営課題となっています。これは、設計・施工段階での仕様変更や、新たな資材・工法の導入コストに起因するものです。ZEH化は将来的な競争優位性を確保するために不可欠ですが、その投資負担を軽減するためには、国や自治体が提供する補助金制度（例：子育てエコホーム支援事業など）の積極的な活用と、早期申請が鍵となります。また、補助金に頼らない形でのZEH化実現に向け、断熱材や窓の性能向上によるランニングコスト削減効果を具体的に顧客に示し、投資対効果を明確に説明する営業・設計体制の構築が求められます。</w:t>
      </w:r>
    </w:p>
    <w:p>
      <w:pPr>
        <w:spacing w:before="120" w:after="40"/>
      </w:pPr>
      <w:r>
        <w:rPr>
          <w:b/>
          <w:sz w:val="21"/>
        </w:rPr>
        <w:t>■ 中東情勢、補助金制度の動向と事業計画への影響</w:t>
      </w:r>
    </w:p>
    <w:p>
      <w:pPr>
        <w:spacing w:line="312" w:lineRule="auto"/>
        <w:ind w:left="283"/>
      </w:pPr>
      <w:r>
        <w:rPr>
          <w:sz w:val="21"/>
        </w:rPr>
        <w:t>中東情勢の緊迫化は、原油価格の上昇を通じて、輸送コストや関連資材価格に継続的に影響を与えるリスク要因として、2026年6月も引き続き注視が必要です。また、2026年度の住宅関連補助金は、申請受付開始から早期に予算上限に達する見込みです。これは、補助金終了後の反動減と、駆け込み需要による一時的な受注増加の後の需要の落ち込みといった、事業計画を立てる上での変動要素が大きくなることを示唆しています。このような外部環境の変化に対応するためには、不測の事態に備えた複数年の資材調達計画の見直しや、補助金に依存しない安定した受注基盤の構築が不可欠です。具体的には、リピーターや紹介による受注比率の向上、あるいは、付加価値の高いリフォーム・リノベーション事業の強化などが、短期的な外部要因の変動に左右されない経営の安定化に寄与すると考えられます。</w:t>
      </w:r>
    </w:p>
    <w:p/>
    <w:p>
      <w:pPr>
        <w:spacing w:line="312" w:lineRule="auto"/>
      </w:pPr>
      <w:r>
        <w:rPr>
          <w:color w:val="444444"/>
          <w:sz w:val="20"/>
        </w:rPr>
        <w:t>金利・建材価格の高騰が長期化する中、顧客の資金計画や、集客・商談、そして工事の執行といった事業のあらゆるフェーズにおいて、より一層の丁寧さと、変化への適応力が求められています。大手ハウスメーカーの動向や、全国で伸びている工務店の事例を参考に、自社にとって最適な「次の一手」を検討する材料として、本レポートがお役立てできれば幸いです。</w:t>
        <w:br/>
        <w:t>※本レポートは、現時点での市場動向に関する情報提供を目的としたものであり、個別の施策実施については、貴社の状況を十分にご検討のうえ、ご判断ください。</w:t>
      </w:r>
    </w:p>
    <w:p/>
    <w:p>
      <w:pPr>
        <w:pBdr>
          <w:bottom w:val="single" w:sz="4" w:space="1" w:color="CCCCCC"/>
        </w:pBdr>
      </w:pPr>
    </w:p>
    <w:p>
      <w:pPr>
        <w:spacing w:after="0"/>
      </w:pPr>
      <w:r>
        <w:rPr>
          <w:color w:val="666666"/>
          <w:sz w:val="18"/>
        </w:rPr>
        <w:t>MARKEY CONSULTING</w:t>
      </w:r>
    </w:p>
    <w:p>
      <w:pPr>
        <w:spacing w:after="0"/>
      </w:pPr>
      <w:r>
        <w:rPr>
          <w:color w:val="666666"/>
          <w:sz w:val="18"/>
        </w:rPr>
        <w:t>代表　鶴田　槙人</w:t>
      </w:r>
    </w:p>
    <w:p>
      <w:pPr>
        <w:spacing w:after="0"/>
      </w:pPr>
      <w:r>
        <w:rPr>
          <w:color w:val="666666"/>
          <w:sz w:val="18"/>
        </w:rPr>
        <w:t>https://markey-consulting.com/</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游ゴシック" w:hAnsi="游ゴシック" w:eastAsia="游ゴシック"/>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