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2E75B6"/>
        </w:pBdr>
      </w:pPr>
      <w:r>
        <w:rPr>
          <w:b/>
          <w:color w:val="1F3A5F"/>
          <w:sz w:val="32"/>
        </w:rPr>
        <w:t>中東情勢の再燃と建材価格への影響・市場環境変化への各社の対応方針事例</w:t>
      </w:r>
    </w:p>
    <w:p>
      <w:pPr>
        <w:jc w:val="right"/>
      </w:pPr>
      <w:r>
        <w:rPr>
          <w:color w:val="666666"/>
          <w:sz w:val="18"/>
        </w:rPr>
        <w:t>2026年06月17日</w:t>
      </w:r>
    </w:p>
    <w:p/>
    <w:p>
      <w:pPr>
        <w:spacing w:before="200" w:after="80"/>
      </w:pPr>
      <w:r>
        <w:rPr>
          <w:b/>
          <w:color w:val="2E75B6"/>
          <w:sz w:val="25"/>
        </w:rPr>
        <w:t>受注関連の対応方針（他社事例）</w:t>
      </w:r>
    </w:p>
    <w:p>
      <w:pPr>
        <w:spacing w:before="120" w:after="40"/>
      </w:pPr>
      <w:r>
        <w:rPr>
          <w:b/>
          <w:sz w:val="21"/>
        </w:rPr>
        <w:t>■ 価格改定の考え方と説明責任の強化</w:t>
      </w:r>
    </w:p>
    <w:p>
      <w:pPr>
        <w:spacing w:line="312" w:lineRule="auto"/>
        <w:ind w:left="283"/>
      </w:pPr>
      <w:r>
        <w:rPr>
          <w:sz w:val="21"/>
        </w:rPr>
        <w:t>各社では、国際原油価格の急落と建材価格の高騰が乖離している現状について、顧客へ丁寧な説明を行う体制を強化しています。透明性のある価格提示と、資材調達コストの変動要因を明確に伝えることが、顧客の信頼獲得に優位な印象です。</w:t>
      </w:r>
    </w:p>
    <w:p>
      <w:pPr>
        <w:spacing w:before="120" w:after="40"/>
      </w:pPr>
      <w:r>
        <w:rPr>
          <w:b/>
          <w:sz w:val="21"/>
        </w:rPr>
        <w:t>■ 営業担当者への市場動向教育の徹底</w:t>
      </w:r>
    </w:p>
    <w:p>
      <w:pPr>
        <w:spacing w:line="312" w:lineRule="auto"/>
        <w:ind w:left="283"/>
      </w:pPr>
      <w:r>
        <w:rPr>
          <w:sz w:val="21"/>
        </w:rPr>
        <w:t>中東情勢の緩和期待による原油価格の変動、一部設備資材の供給回復（例：TOTOのユニットバス新規受注再開）など、複雑な市況を正確に理解し、顧客に的確な情報を提供できるよう、営業担当者への定期的な市場動向研修を推奨します。</w:t>
      </w:r>
    </w:p>
    <w:p>
      <w:pPr>
        <w:spacing w:before="120" w:after="40"/>
      </w:pPr>
      <w:r>
        <w:rPr>
          <w:b/>
          <w:sz w:val="21"/>
        </w:rPr>
        <w:t>■ 早期契約インセンティブの提供</w:t>
      </w:r>
    </w:p>
    <w:p>
      <w:pPr>
        <w:spacing w:line="312" w:lineRule="auto"/>
        <w:ind w:left="283"/>
      </w:pPr>
      <w:r>
        <w:rPr>
          <w:sz w:val="21"/>
        </w:rPr>
        <w:t>資材価格のさらなる上昇リスクを顧客と共有しつつ、例えば「〇月末までのご契約で、主要建材価格を固定」といった早期契約特典を設けることで、顧客の決断を促し、受注の確実性を高める事例が見られます。</w:t>
      </w:r>
    </w:p>
    <w:p>
      <w:pPr>
        <w:spacing w:before="120" w:after="40"/>
      </w:pPr>
      <w:r>
        <w:rPr>
          <w:b/>
          <w:sz w:val="21"/>
        </w:rPr>
        <w:t>■ 契約後の価格変動条項の見直し</w:t>
      </w:r>
    </w:p>
    <w:p>
      <w:pPr>
        <w:spacing w:line="312" w:lineRule="auto"/>
        <w:ind w:left="283"/>
      </w:pPr>
      <w:r>
        <w:rPr>
          <w:sz w:val="21"/>
        </w:rPr>
        <w:t>契約後の主要建材（屋根材、塗料、木材など）の価格変動に対応するため、変動リスクを考慮した具体的な価格変動条項を契約書に盛り込むことで、将来的なトラブルを回避し、リスクを双方で適切に分担する体制が整えられています。</w:t>
      </w:r>
    </w:p>
    <w:p>
      <w:pPr>
        <w:spacing w:before="200" w:after="80"/>
      </w:pPr>
      <w:r>
        <w:rPr>
          <w:b/>
          <w:color w:val="2E75B6"/>
          <w:sz w:val="25"/>
        </w:rPr>
        <w:t>工事関連の対応方針（他社事例）</w:t>
      </w:r>
    </w:p>
    <w:p>
      <w:pPr>
        <w:spacing w:before="120" w:after="40"/>
      </w:pPr>
      <w:r>
        <w:rPr>
          <w:b/>
          <w:sz w:val="21"/>
        </w:rPr>
        <w:t>■ 協力業者との情報共有とコスト交渉</w:t>
      </w:r>
    </w:p>
    <w:p>
      <w:pPr>
        <w:spacing w:line="312" w:lineRule="auto"/>
        <w:ind w:left="283"/>
      </w:pPr>
      <w:r>
        <w:rPr>
          <w:sz w:val="21"/>
        </w:rPr>
        <w:t>建材高騰の継続（例：日本ペイント、DAIKENの値上げ発表）に対し、協力業者との密な連携を深め、代替資材の共同検討や、発注ロットの見直しによるコスト交渉を積極的に実施しています。サプライチェーン全体でのコスト抑制が肝要です。</w:t>
      </w:r>
    </w:p>
    <w:p>
      <w:pPr>
        <w:spacing w:before="120" w:after="40"/>
      </w:pPr>
      <w:r>
        <w:rPr>
          <w:b/>
          <w:sz w:val="21"/>
        </w:rPr>
        <w:t>■ 戦略的な資材調達と在庫管理の最適化</w:t>
      </w:r>
    </w:p>
    <w:p>
      <w:pPr>
        <w:spacing w:line="312" w:lineRule="auto"/>
        <w:ind w:left="283"/>
      </w:pPr>
      <w:r>
        <w:rPr>
          <w:sz w:val="21"/>
        </w:rPr>
        <w:t>原油価格の動向や一部設備供給の回復兆し（TOTOなど）を注視し、YKKAPのアルミ材再値上げ検討などの情報も踏まえ、主要建材の市況を継続的にモニタリングしています。これにより、計画的な発注と必要最小限の在庫を維持し、キャッシュフローの健全化を図る動きが加速しています。</w:t>
      </w:r>
    </w:p>
    <w:p>
      <w:pPr>
        <w:spacing w:before="120" w:after="40"/>
      </w:pPr>
      <w:r>
        <w:rPr>
          <w:b/>
          <w:sz w:val="21"/>
        </w:rPr>
        <w:t>■ 顧客への工事状況・コスト変動の定期報告</w:t>
      </w:r>
    </w:p>
    <w:p>
      <w:pPr>
        <w:spacing w:line="312" w:lineRule="auto"/>
        <w:ind w:left="283"/>
      </w:pPr>
      <w:r>
        <w:rPr>
          <w:sz w:val="21"/>
        </w:rPr>
        <w:t>中東情勢由来の資材供給不安定や、アルミ材などの再値上げが工事進捗や最終コストに与える影響について、顧客へ早期かつ透明性高く報告する体制を構築しています。予見可能なリスクを共有することで、顧客からの理解と信頼を得ることに繋がります。</w:t>
      </w:r>
    </w:p>
    <w:p>
      <w:pPr>
        <w:spacing w:before="120" w:after="40"/>
      </w:pPr>
      <w:r>
        <w:rPr>
          <w:b/>
          <w:sz w:val="21"/>
        </w:rPr>
        <w:t>■ サプライチェーン強靭化に向けた中長期戦略</w:t>
      </w:r>
    </w:p>
    <w:p>
      <w:pPr>
        <w:spacing w:line="312" w:lineRule="auto"/>
        <w:ind w:left="283"/>
      </w:pPr>
      <w:r>
        <w:rPr>
          <w:sz w:val="21"/>
        </w:rPr>
        <w:t>特定の資材やサプライヤーへの依存度を低減するため、複数メーカーからの調達ルート開拓や、国内生産品の活用を検討する企業が増えています。これは、今後も続く可能性のあるサプライチェーンの混乱に備える中長期的なリスクヘッジとして推奨されます。</w:t>
      </w:r>
    </w:p>
    <w:p/>
    <w:p>
      <w:pPr>
        <w:spacing w:line="312" w:lineRule="auto"/>
      </w:pPr>
      <w:r>
        <w:rPr>
          <w:color w:val="444444"/>
          <w:sz w:val="20"/>
        </w:rPr>
        <w:t>全般的に、市場環境の複雑化に対応するためには、経営層から現場の社員への対応方針の明確化が肝要です。</w:t>
        <w:br/>
        <w:t>あくまで情報提供としての事例共有であり、実施は十分ご検討のうえご対応ください。</w:t>
      </w:r>
    </w:p>
    <w:p/>
    <w:p>
      <w:pPr>
        <w:pBdr>
          <w:bottom w:val="single" w:sz="4" w:space="1" w:color="CCCCCC"/>
        </w:pBdr>
      </w:pPr>
    </w:p>
    <w:p>
      <w:pPr>
        <w:spacing w:after="0"/>
      </w:pPr>
      <w:r>
        <w:rPr>
          <w:color w:val="666666"/>
          <w:sz w:val="18"/>
        </w:rPr>
        <w:t>MARKEY CONSULTING</w:t>
      </w:r>
    </w:p>
    <w:p>
      <w:pPr>
        <w:spacing w:after="0"/>
      </w:pPr>
      <w:r>
        <w:rPr>
          <w:color w:val="666666"/>
          <w:sz w:val="18"/>
        </w:rPr>
        <w:t>代表　鶴田　槙人</w:t>
      </w:r>
    </w:p>
    <w:p>
      <w:pPr>
        <w:spacing w:after="0"/>
      </w:pPr>
      <w:r>
        <w:rPr>
          <w:color w:val="666666"/>
          <w:sz w:val="18"/>
        </w:rPr>
        <w:t>https://markey-consulting.com/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