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6" w:space="1" w:color="2E75B6"/>
        </w:pBdr>
      </w:pPr>
      <w:r>
        <w:rPr>
          <w:b/>
          <w:color w:val="1F3A5F"/>
          <w:sz w:val="32"/>
        </w:rPr>
        <w:t>金利・建材高騰が加速する住宅市場と、経営の次の一手</w:t>
      </w:r>
    </w:p>
    <w:p>
      <w:pPr>
        <w:jc w:val="right"/>
      </w:pPr>
      <w:r>
        <w:rPr>
          <w:color w:val="666666"/>
          <w:sz w:val="18"/>
        </w:rPr>
        <w:t>2026年06月19日</w:t>
      </w:r>
    </w:p>
    <w:p/>
    <w:p>
      <w:pPr>
        <w:spacing w:before="200" w:after="80"/>
      </w:pPr>
      <w:r>
        <w:rPr>
          <w:b/>
          <w:color w:val="2E75B6"/>
          <w:sz w:val="25"/>
        </w:rPr>
        <w:t>住宅購入者の「資金計画」と「購買行動」の変化</w:t>
      </w:r>
    </w:p>
    <w:p>
      <w:pPr>
        <w:spacing w:before="120" w:after="40"/>
      </w:pPr>
      <w:r>
        <w:rPr>
          <w:b/>
          <w:sz w:val="21"/>
        </w:rPr>
        <w:t>■ 変動・固定金利動向と顧客への影響</w:t>
      </w:r>
    </w:p>
    <w:p>
      <w:pPr>
        <w:spacing w:line="312" w:lineRule="auto"/>
        <w:ind w:left="283"/>
      </w:pPr>
      <w:r>
        <w:rPr>
          <w:sz w:val="21"/>
        </w:rPr>
        <w:t>変動金利は低水準を維持しているものの、長期金利の上昇に伴い固定金利は引き続き上昇傾向にあります。特にフラット35金利も上昇しており、顧客にとって「将来の返済額への不安」が増大しています。この状況下では、単なる金利優遇の提示だけでは不十分であり、住宅会社の皆様には、プロの視点から将来を見据えたライフプランニングと、多様な金利タイプや返済計画を丁寧に説明する「資金計画のコンサルティング力」の強化が、成約率を高める上で極めて重要となります。大手では初期段階でFPと連携し、長期的な視点での資金シミュレーションを提供することで顧客の信頼を得ています。</w:t>
      </w:r>
    </w:p>
    <w:p>
      <w:pPr>
        <w:spacing w:before="120" w:after="40"/>
      </w:pPr>
      <w:r>
        <w:rPr>
          <w:b/>
          <w:sz w:val="21"/>
        </w:rPr>
        <w:t>■ 建築費高騰が招く顧客の購買行動の変化</w:t>
      </w:r>
    </w:p>
    <w:p>
      <w:pPr>
        <w:spacing w:line="312" w:lineRule="auto"/>
        <w:ind w:left="283"/>
      </w:pPr>
      <w:r>
        <w:rPr>
          <w:sz w:val="21"/>
        </w:rPr>
        <w:t>建設資材高騰、人件費上昇は、そのまま最終的な建築費に転嫁され、顧客の予算を圧迫しています。これにより、住宅購入希望者は、より土地価格の安い郊外エリアへの転居や、コストを抑えたシンプルな設計の選択、補助金制度の積極活用、あるいは新築から中古住宅のリフォームへと購入行動がシフトする傾向にあります。商談においては、こうした顧客のニーズの変化を敏感に察知し、価格の透明性を高めるとともに、コストパフォーマンスに優れたプランや、補助金活用を前提とした提案を早期に行うことで、顧客の「購入への障壁」を低減し、新たな価値提供を図ることが求められます。</w:t>
      </w:r>
    </w:p>
    <w:p>
      <w:pPr>
        <w:spacing w:before="200" w:after="80"/>
      </w:pPr>
      <w:r>
        <w:rPr>
          <w:b/>
          <w:color w:val="2E75B6"/>
          <w:sz w:val="25"/>
        </w:rPr>
        <w:t>建設コストの上昇圧力と安定供給への課題</w:t>
      </w:r>
    </w:p>
    <w:p>
      <w:pPr>
        <w:spacing w:before="120" w:after="40"/>
      </w:pPr>
      <w:r>
        <w:rPr>
          <w:b/>
          <w:sz w:val="21"/>
        </w:rPr>
        <w:t>■ 複合的な要因による資材高騰とメーカー値上げ</w:t>
      </w:r>
    </w:p>
    <w:p>
      <w:pPr>
        <w:spacing w:line="312" w:lineRule="auto"/>
        <w:ind w:left="283"/>
      </w:pPr>
      <w:r>
        <w:rPr>
          <w:sz w:val="21"/>
        </w:rPr>
        <w:t>円安、エネルギー価格高騰、人件費上昇、国際情勢の不安定化といった複合的な要因により、H型鋼や配管用炭素鋼鋼管、軽油、鉄スクラップ、さらには中東情勢を受けた石油系建材（断熱材、塗料、ユニットバスなど）の価格高騰は継続しています。加えて、LIXIL、YKK AP、TOTOなどの主要メーカーが2025年以降、水栓金具、キッチン、サッシ、ドア、衛生陶器などで値上げを予定しており、今後も広範な分野で建築コストの上昇は不可避です。中小・地域工務店は、サプライチェーンの安定化に向けた仕入れ先の多角化や、協力会社との長期的な関係構築、代替材の積極的な検討と提案力を高めることが、変動リスクを吸収し、安定した原価管理を行う上で不可欠となります。</w:t>
      </w:r>
    </w:p>
    <w:p>
      <w:pPr>
        <w:spacing w:before="120" w:after="40"/>
      </w:pPr>
      <w:r>
        <w:rPr>
          <w:b/>
          <w:sz w:val="21"/>
        </w:rPr>
        <w:t>■ 「2024年問題」がもたらす現場コストと工期への影響</w:t>
      </w:r>
    </w:p>
    <w:p>
      <w:pPr>
        <w:spacing w:line="312" w:lineRule="auto"/>
        <w:ind w:left="283"/>
      </w:pPr>
      <w:r>
        <w:rPr>
          <w:sz w:val="21"/>
        </w:rPr>
        <w:t>2024年4月に建設業にも適用された残業時間規制は、現場の人件費上昇と工期遅延のリスクを顕在化させています。これにより、分譲住宅では販売価格への上昇圧力が、注文住宅では引き渡し遅延による顧客不満や追加費用の発生（仮住まい費用など）に直結する懸念があります。この構造的な労働力不足とコスト上昇に対応するためには、単なる工期延長ではなく、現場の生産性向上に資する取り組みが不可欠です。例えば、プレカット材の積極活用、デジタルツールによる工程管理の徹底、協力会社との密な連携による効率的な人員配置など、現場全体の業務効率化を進め、安定的な工期と品質を確保する仕組みづくりが喫緊の課題と言えるでしょう。</w:t>
      </w:r>
    </w:p>
    <w:p>
      <w:pPr>
        <w:spacing w:before="200" w:after="80"/>
      </w:pPr>
      <w:r>
        <w:rPr>
          <w:b/>
          <w:color w:val="2E75B6"/>
          <w:sz w:val="25"/>
        </w:rPr>
        <w:t>市場縮小期における住宅会社の戦略的対応</w:t>
      </w:r>
    </w:p>
    <w:p>
      <w:pPr>
        <w:spacing w:before="120" w:after="40"/>
      </w:pPr>
      <w:r>
        <w:rPr>
          <w:b/>
          <w:sz w:val="21"/>
        </w:rPr>
        <w:t>■ 着工戸数減少の背景と市場の方向性</w:t>
      </w:r>
    </w:p>
    <w:p>
      <w:pPr>
        <w:spacing w:line="312" w:lineRule="auto"/>
        <w:ind w:left="283"/>
      </w:pPr>
      <w:r>
        <w:rPr>
          <w:sz w:val="21"/>
        </w:rPr>
        <w:t>2024年の新設住宅着工戸数は2年連続の減少となり、特に持ち家と分譲一戸建の落ち込みが顕著です。これは、建築費と土地取得費の継続的な上昇が、顧客の購買意欲を冷え込ませている明確な兆候です。市場全体が縮小傾向にある中で、従来の「新築供給」だけでは成長が難しくなる可能性があります。顧客のニーズが多様化し、「住まい」に対する価値観が変化する中で、単に住宅を販売するだけでなく、リノベーション、ZEH化改修、高性能住宅への補助金活用など、顧客の「住まい方」全体をサポートする事業領域への拡大や、地域に特化した高付加価値な提案へのシフトが、持続的な成長を可能にするでしょう。</w:t>
      </w:r>
    </w:p>
    <w:p>
      <w:pPr>
        <w:spacing w:before="120" w:after="40"/>
      </w:pPr>
      <w:r>
        <w:rPr>
          <w:b/>
          <w:sz w:val="21"/>
        </w:rPr>
        <w:t>■ 中小・地域工務店が今取り組むべき「勝ち筋」</w:t>
      </w:r>
    </w:p>
    <w:p>
      <w:pPr>
        <w:spacing w:line="312" w:lineRule="auto"/>
        <w:ind w:left="283"/>
      </w:pPr>
      <w:r>
        <w:rPr>
          <w:sz w:val="21"/>
        </w:rPr>
        <w:t>大手のようなスケールメリットが難しい中小・地域工務店にとって、差別化と顧客満足度向上は生命線です。全国で伸びている会社は、顧客のニーズを深く捉え、独自の価値提供を行っています。貴社においても、地域の特性を活かした家づくり、高耐久・高性能住宅への注力、そして何よりも地域に根差したきめ細やかなアフターサポートの強化は、他社には真似できない強みとなります。また、ITツールを活用した顧客との情報共有の透明化、見積もり作成プロセスの効率化は、業務改善だけでなく顧客からの信頼獲得にも繋がります。短期的な価格競争に陥るのではなく、長期的な視点で「選ばれる住宅会社」となるための、独自のブランディングと顧客体験の向上に投資することが、今後の成長を左右する鍵となります。</w:t>
      </w:r>
    </w:p>
    <w:p/>
    <w:p>
      <w:pPr>
        <w:spacing w:line="312" w:lineRule="auto"/>
      </w:pPr>
      <w:r>
        <w:rPr>
          <w:color w:val="444444"/>
          <w:sz w:val="20"/>
        </w:rPr>
        <w:t>「金利」「資材高騰」「労働力不足」という構造的な課題は、住宅市場全体に大きな変革を迫っています。しかし、これは単なる逆風ではなく、既存のビジネスモデルを見直し、顧客への提供価値を再定義する絶好の機会と捉えることができます。短期的な対症療法に留まらず、長期的な視点で「選ばれる住宅会社」となるための経営戦略を練ることが、今、最も重要であると考えます。</w:t>
        <w:br/>
        <w:t>あくまで情報提供としての事例共有であり、実施は十分ご検討のうえご対応ください。</w:t>
      </w:r>
    </w:p>
    <w:p/>
    <w:p>
      <w:pPr>
        <w:pBdr>
          <w:bottom w:val="single" w:sz="4" w:space="1" w:color="CCCCCC"/>
        </w:pBdr>
      </w:pPr>
    </w:p>
    <w:p>
      <w:pPr>
        <w:spacing w:after="0"/>
      </w:pPr>
      <w:r>
        <w:rPr>
          <w:color w:val="666666"/>
          <w:sz w:val="18"/>
        </w:rPr>
        <w:t>MARKEY CONSULTING</w:t>
      </w:r>
    </w:p>
    <w:p>
      <w:pPr>
        <w:spacing w:after="0"/>
      </w:pPr>
      <w:r>
        <w:rPr>
          <w:color w:val="666666"/>
          <w:sz w:val="18"/>
        </w:rPr>
        <w:t>代表　鶴田　槙人</w:t>
      </w:r>
    </w:p>
    <w:p>
      <w:pPr>
        <w:spacing w:after="0"/>
      </w:pPr>
      <w:r>
        <w:rPr>
          <w:color w:val="666666"/>
          <w:sz w:val="18"/>
        </w:rPr>
        <w:t>https://markey-consulting.com/</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