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【10月第3週】大手ハウスメーカー収益圧迫、省エネ義務化の中小工務店への影響続く</w:t>
      </w:r>
    </w:p>
    <w:p>
      <w:pPr>
        <w:jc w:val="right"/>
      </w:pPr>
      <w:r>
        <w:rPr>
          <w:color w:val="666666"/>
          <w:sz w:val="18"/>
        </w:rPr>
        <w:t>2026年10月20日</w:t>
      </w:r>
    </w:p>
    <w:p/>
    <w:p>
      <w:pPr>
        <w:spacing w:before="200" w:after="80"/>
      </w:pPr>
      <w:r>
        <w:rPr>
          <w:b/>
          <w:color w:val="2E75B6"/>
          <w:sz w:val="25"/>
        </w:rPr>
        <w:t>今週の住宅業界ニュース</w:t>
      </w:r>
    </w:p>
    <w:p>
      <w:pPr>
        <w:spacing w:before="120" w:after="40"/>
      </w:pPr>
      <w:r>
        <w:rPr>
          <w:b/>
          <w:sz w:val="21"/>
        </w:rPr>
        <w:t>■ 大手ハウスメーカー、受注増もコスト高で収益圧迫</w:t>
      </w:r>
    </w:p>
    <w:p>
      <w:pPr>
        <w:spacing w:line="312" w:lineRule="auto"/>
        <w:ind w:left="283"/>
      </w:pPr>
      <w:r>
        <w:rPr>
          <w:sz w:val="21"/>
        </w:rPr>
        <w:t>2026年第3四半期、大手ハウスメーカー各社は受注棟数が増加傾向にあるものの、建材費や人件費の高騰が利益率を圧迫しています。特に省エネ性能強化やZEH基準対応に伴う部材コストの上昇が影響しています。(出典: 各社IR発表)</w:t>
      </w:r>
    </w:p>
    <w:p>
      <w:pPr>
        <w:spacing w:before="120" w:after="40"/>
      </w:pPr>
      <w:r>
        <w:rPr>
          <w:b/>
          <w:sz w:val="21"/>
        </w:rPr>
        <w:t>■ 省エネ基準適合義務化、中小工務店への影響継続</w:t>
      </w:r>
    </w:p>
    <w:p>
      <w:pPr>
        <w:spacing w:line="312" w:lineRule="auto"/>
        <w:ind w:left="283"/>
      </w:pPr>
      <w:r>
        <w:rPr>
          <w:sz w:val="21"/>
        </w:rPr>
        <w:t>2025年度からの新築住宅における省エネ基準適合義務化に対し、中小規模の工務店では基準適合のための知識習得や設備導入への対応が続いています。専門人材の確保も課題となっています。(出典: 業界専門紙報道)</w:t>
      </w:r>
    </w:p>
    <w:p>
      <w:pPr>
        <w:spacing w:before="120" w:after="40"/>
      </w:pPr>
      <w:r>
        <w:rPr>
          <w:b/>
          <w:sz w:val="21"/>
        </w:rPr>
        <w:t>■ 一部建材価格に下落見られるも、高水準は継続</w:t>
      </w:r>
    </w:p>
    <w:p>
      <w:pPr>
        <w:spacing w:line="312" w:lineRule="auto"/>
        <w:ind w:left="283"/>
      </w:pPr>
      <w:r>
        <w:rPr>
          <w:sz w:val="21"/>
        </w:rPr>
        <w:t>供給改善が見られる一部の木材や断熱材では価格の下落傾向がありますが、全体としては建材価格は依然として高水準で推移しており、建築コストへの影響が続いています。(出典: 業界専門紙報道)</w:t>
      </w:r>
    </w:p>
    <w:p>
      <w:pPr>
        <w:spacing w:before="200" w:after="80"/>
      </w:pPr>
      <w:r>
        <w:rPr>
          <w:b/>
          <w:color w:val="2E75B6"/>
          <w:sz w:val="25"/>
        </w:rPr>
        <w:t>市況感概要（定点観測）</w:t>
      </w:r>
    </w:p>
    <w:p>
      <w:pPr>
        <w:spacing w:before="120" w:after="40"/>
      </w:pPr>
      <w:r>
        <w:rPr>
          <w:b/>
          <w:sz w:val="21"/>
        </w:rPr>
        <w:t>■ 住宅ローン金利</w:t>
      </w:r>
    </w:p>
    <w:p>
      <w:pPr>
        <w:spacing w:line="312" w:lineRule="auto"/>
        <w:ind w:left="283"/>
      </w:pPr>
      <w:r>
        <w:rPr>
          <w:sz w:val="21"/>
        </w:rPr>
        <w:t>市場金利連動型住宅ローン金利が、直近1週間で小幅に上昇しました。長期金利やフラット35金利に大きな変動はありません。(出典: モゲチェック)</w:t>
      </w:r>
    </w:p>
    <w:p>
      <w:pPr>
        <w:spacing w:before="120" w:after="40"/>
      </w:pPr>
      <w:r>
        <w:rPr>
          <w:b/>
          <w:sz w:val="21"/>
        </w:rPr>
        <w:t>■ 不動産価格</w:t>
      </w:r>
    </w:p>
    <w:p>
      <w:pPr>
        <w:spacing w:line="312" w:lineRule="auto"/>
        <w:ind w:left="283"/>
      </w:pPr>
      <w:r>
        <w:rPr>
          <w:sz w:val="21"/>
        </w:rPr>
        <w:t>首都圏を中心に、中古マンション価格は上昇が一服し、横ばい傾向が見られます。住宅ローン金利動向や新築マンション供給状況が影響しています。(出典: 東京カンテイ)</w:t>
      </w:r>
    </w:p>
    <w:p>
      <w:pPr>
        <w:spacing w:before="120" w:after="40"/>
      </w:pPr>
      <w:r>
        <w:rPr>
          <w:b/>
          <w:sz w:val="21"/>
        </w:rPr>
        <w:t>■ ハウスメーカー受注速報</w:t>
      </w:r>
    </w:p>
    <w:p>
      <w:pPr>
        <w:spacing w:line="312" w:lineRule="auto"/>
        <w:ind w:left="283"/>
      </w:pPr>
      <w:r>
        <w:rPr>
          <w:sz w:val="21"/>
        </w:rPr>
        <w:t>[データなし] ※リサーチ結果に含まれていないため記載省略</w:t>
      </w:r>
    </w:p>
    <w:p>
      <w:pPr>
        <w:spacing w:before="120" w:after="40"/>
      </w:pPr>
      <w:r>
        <w:rPr>
          <w:b/>
          <w:sz w:val="21"/>
        </w:rPr>
        <w:t>■ 住宅展示場来場数</w:t>
      </w:r>
    </w:p>
    <w:p>
      <w:pPr>
        <w:spacing w:line="312" w:lineRule="auto"/>
        <w:ind w:left="283"/>
      </w:pPr>
      <w:r>
        <w:rPr>
          <w:sz w:val="21"/>
        </w:rPr>
        <w:t>9月の住宅展示場来場者数は、前年同月比での伸び率が鈍化しました。一部地域では季節的回復が見られましたが、全体的な鈍化傾向です。(出典: 新建ハウジング)</w:t>
      </w:r>
    </w:p>
    <w:p>
      <w:pPr>
        <w:spacing w:before="120" w:after="40"/>
      </w:pPr>
      <w:r>
        <w:rPr>
          <w:b/>
          <w:sz w:val="21"/>
        </w:rPr>
        <w:t>■ 建設業の倒産</w:t>
      </w:r>
    </w:p>
    <w:p>
      <w:pPr>
        <w:spacing w:line="312" w:lineRule="auto"/>
        <w:ind w:left="283"/>
      </w:pPr>
      <w:r>
        <w:rPr>
          <w:sz w:val="21"/>
        </w:rPr>
        <w:t>2026年9月の建設業倒産件数は、前月比で微減しましたが、依然として高水準を維持しています。物価高、人手不足、受注の伸び悩みによる資金繰り悪化が要因となっています。(出典: 東京商工リサーチ)</w:t>
      </w:r>
    </w:p>
    <w:p>
      <w:pPr>
        <w:spacing w:before="200" w:after="80"/>
      </w:pPr>
      <w:r>
        <w:rPr>
          <w:b/>
          <w:color w:val="2E75B6"/>
          <w:sz w:val="25"/>
        </w:rPr>
        <w:t>まとめ</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