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【7月第4週】住宅ローン金利上昇と省エネ補助金公募継続</w:t>
      </w:r>
    </w:p>
    <w:p>
      <w:pPr>
        <w:jc w:val="right"/>
      </w:pPr>
      <w:r>
        <w:rPr>
          <w:color w:val="666666"/>
          <w:sz w:val="18"/>
        </w:rPr>
        <w:t>2026年07月26日</w:t>
      </w:r>
    </w:p>
    <w:p/>
    <w:p>
      <w:pPr>
        <w:spacing w:before="200" w:after="80"/>
      </w:pPr>
      <w:r>
        <w:rPr>
          <w:b/>
          <w:color w:val="2E75B6"/>
          <w:sz w:val="25"/>
        </w:rPr>
        <w:t>今週の住宅業界ニュース</w:t>
      </w:r>
    </w:p>
    <w:p>
      <w:pPr>
        <w:spacing w:before="120" w:after="40"/>
      </w:pPr>
      <w:r>
        <w:rPr>
          <w:b/>
          <w:sz w:val="21"/>
        </w:rPr>
        <w:t>■ 住宅ローン金利、上昇傾向継続</w:t>
      </w:r>
    </w:p>
    <w:p>
      <w:pPr>
        <w:spacing w:line="312" w:lineRule="auto"/>
        <w:ind w:left="283"/>
      </w:pPr>
      <w:r>
        <w:rPr>
          <w:sz w:val="21"/>
        </w:rPr>
        <w:t>2026年7月第4週、主要銀行の住宅ローン金利は僅かに上昇傾向を示しました。特に変動金利型ローンで市場金利に連動する動きが見られます。顧客の間では、固定金利型へのシフトや資金計画の見直しを検討する動きが顕著となっています。（出典: モゲチェック）</w:t>
      </w:r>
    </w:p>
    <w:p>
      <w:pPr>
        <w:spacing w:before="120" w:after="40"/>
      </w:pPr>
      <w:r>
        <w:rPr>
          <w:b/>
          <w:sz w:val="21"/>
        </w:rPr>
        <w:t>■ 省エネ住宅支援、2026キャンペーン公募継続中</w:t>
      </w:r>
    </w:p>
    <w:p>
      <w:pPr>
        <w:spacing w:line="312" w:lineRule="auto"/>
        <w:ind w:left="283"/>
      </w:pPr>
      <w:r>
        <w:rPr>
          <w:sz w:val="21"/>
        </w:rPr>
        <w:t>「住宅省エネ2026キャンペーン」は、2026年7月現在も公募が継続されています。子育て支援型省エネ改修や断熱改修に対する補助金は引き続き注目されており、申請件数も堅調に推移しています。予算上限に達し次第終了するため、早期の申請が推奨されています。（出典: LIXIL）</w:t>
      </w:r>
    </w:p>
    <w:p>
      <w:pPr>
        <w:spacing w:before="120" w:after="40"/>
      </w:pPr>
      <w:r>
        <w:rPr>
          <w:b/>
          <w:sz w:val="21"/>
        </w:rPr>
        <w:t>■ 建材価格、高水準で推移</w:t>
      </w:r>
    </w:p>
    <w:p>
      <w:pPr>
        <w:spacing w:line="312" w:lineRule="auto"/>
        <w:ind w:left="283"/>
      </w:pPr>
      <w:r>
        <w:rPr>
          <w:sz w:val="21"/>
        </w:rPr>
        <w:t>2026年7月現在、木材や一部建材の価格は依然として高水準で推移しています。円安や海外情勢の影響による輸入資材のコスト増が建築コストの圧迫要因となっています。大手建材メーカーは安定供給に向けた対策を講じていますが、状況は予断を許さない見通しです。（出典: 日刊建設工業新聞）</w:t>
      </w:r>
    </w:p>
    <w:p>
      <w:pPr>
        <w:spacing w:before="120" w:after="40"/>
      </w:pPr>
      <w:r>
        <w:rPr>
          <w:b/>
          <w:sz w:val="21"/>
        </w:rPr>
        <w:t>■ 建設業倒産、増加傾向続く</w:t>
      </w:r>
    </w:p>
    <w:p>
      <w:pPr>
        <w:spacing w:line="312" w:lineRule="auto"/>
        <w:ind w:left="283"/>
      </w:pPr>
      <w:r>
        <w:rPr>
          <w:sz w:val="21"/>
        </w:rPr>
        <w:t>2026年6月までの建設業における倒産件数は、前年同月比で増加傾向が確認されています。特に中小規模の工務店では、資材価格の高騰、人件費の上昇、受注の伸び悩みなどが経営を圧迫しており、今後、業界再編の動きが進む可能性があります。（出典: 東京商工リサーチ）</w:t>
      </w:r>
    </w:p>
    <w:p>
      <w:pPr>
        <w:spacing w:before="200" w:after="80"/>
      </w:pPr>
      <w:r>
        <w:rPr>
          <w:b/>
          <w:color w:val="2E75B6"/>
          <w:sz w:val="25"/>
        </w:rPr>
        <w:t>市況感概要（定点観測）</w:t>
      </w:r>
    </w:p>
    <w:p>
      <w:pPr>
        <w:spacing w:before="120" w:after="40"/>
      </w:pPr>
      <w:r>
        <w:rPr>
          <w:b/>
          <w:sz w:val="21"/>
        </w:rPr>
        <w:t>■ 住宅ローン金利動向</w:t>
      </w:r>
    </w:p>
    <w:p>
      <w:pPr>
        <w:spacing w:line="312" w:lineRule="auto"/>
        <w:ind w:left="283"/>
      </w:pPr>
      <w:r>
        <w:rPr>
          <w:sz w:val="21"/>
        </w:rPr>
        <w:t>2026年7月第4週、主要銀行の住宅ローン金利は上昇傾向が継続しています。特に変動金利型ローンで市場金利の動向に連動する動きが見られます。（出典: モゲチェック）</w:t>
      </w:r>
    </w:p>
    <w:p>
      <w:pPr>
        <w:spacing w:before="120" w:after="40"/>
      </w:pPr>
      <w:r>
        <w:rPr>
          <w:b/>
          <w:sz w:val="21"/>
        </w:rPr>
        <w:t>■ 不動産価格動向</w:t>
      </w:r>
    </w:p>
    <w:p>
      <w:pPr>
        <w:spacing w:line="312" w:lineRule="auto"/>
        <w:ind w:left="283"/>
      </w:pPr>
      <w:r>
        <w:rPr>
          <w:sz w:val="21"/>
        </w:rPr>
        <w:t>2026年6月時点の主要都市圏における中古マンション価格は、全体としては横ばい傾向です。都心部では堅調な需要が続く一方、郊外では供給増の影響も一部見られ、地域差が拡大しています。（出典: 東京カンテイ）</w:t>
      </w:r>
    </w:p>
    <w:p>
      <w:pPr>
        <w:spacing w:before="120" w:after="40"/>
      </w:pPr>
      <w:r>
        <w:rPr>
          <w:b/>
          <w:sz w:val="21"/>
        </w:rPr>
        <w:t>■ 建設業の倒産件数</w:t>
      </w:r>
    </w:p>
    <w:p>
      <w:pPr>
        <w:spacing w:line="312" w:lineRule="auto"/>
        <w:ind w:left="283"/>
      </w:pPr>
      <w:r>
        <w:rPr>
          <w:sz w:val="21"/>
        </w:rPr>
        <w:t>2026年6月までの建設業における倒産件数は、前年同月比で増加傾向にあります。（出典: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