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金利・建材高騰時代を乗り越える：2026年、住宅会社が取るべき戦略的「次の一手」</w:t>
      </w:r>
    </w:p>
    <w:p>
      <w:pPr>
        <w:jc w:val="right"/>
      </w:pPr>
      <w:r>
        <w:rPr>
          <w:color w:val="666666"/>
          <w:sz w:val="18"/>
        </w:rPr>
        <w:t>2026年06月25日</w:t>
      </w:r>
    </w:p>
    <w:p/>
    <w:p>
      <w:pPr>
        <w:spacing w:before="200" w:after="80"/>
      </w:pPr>
      <w:r>
        <w:rPr>
          <w:b/>
          <w:color w:val="2E75B6"/>
          <w:sz w:val="25"/>
        </w:rPr>
        <w:t>厳しさを増す市場環境と経営への影響</w:t>
      </w:r>
    </w:p>
    <w:p>
      <w:pPr>
        <w:spacing w:before="120" w:after="40"/>
      </w:pPr>
      <w:r>
        <w:rPr>
          <w:b/>
          <w:sz w:val="21"/>
        </w:rPr>
        <w:t>■ 金利・建材高騰の長期化とコスト圧迫</w:t>
      </w:r>
    </w:p>
    <w:p>
      <w:pPr>
        <w:spacing w:line="312" w:lineRule="auto"/>
        <w:ind w:left="283"/>
      </w:pPr>
      <w:r>
        <w:rPr>
          <w:sz w:val="21"/>
        </w:rPr>
        <w:t>住宅ローン固定金利、特にフラット35は現行制度初の3%超えを記録し、変動金利も夏以降の上昇観測があります。これに加え、原材料高騰による建築資材の値上げは外壁材、屋根材、設備機器に至るまで継続しており、中小工務店様においては1棟あたり100〜200万円規模のコスト増が常態化しています。</w:t>
      </w:r>
    </w:p>
    <w:p>
      <w:pPr>
        <w:spacing w:before="120" w:after="40"/>
      </w:pPr>
      <w:r>
        <w:rPr>
          <w:b/>
          <w:sz w:val="21"/>
        </w:rPr>
        <w:t>■ 住宅需要の減退と激化する受注競争</w:t>
      </w:r>
    </w:p>
    <w:p>
      <w:pPr>
        <w:spacing w:line="312" w:lineRule="auto"/>
        <w:ind w:left="283"/>
      </w:pPr>
      <w:r>
        <w:rPr>
          <w:sz w:val="21"/>
        </w:rPr>
        <w:t>戸建注文住宅の受注見通しは厳しい状況が続き、市場全体の縮小傾向は明確です。このような環境下では、既存顧客の囲い込みはもちろん、新規顧客獲得に向けた競争は一層激化し、いかに自社の「選ばれる理由」を明確にできるかが問われます。</w:t>
      </w:r>
    </w:p>
    <w:p>
      <w:pPr>
        <w:spacing w:before="120" w:after="40"/>
      </w:pPr>
      <w:r>
        <w:rPr>
          <w:b/>
          <w:sz w:val="21"/>
        </w:rPr>
        <w:t>■ 複合的要因による経営リスクの増大</w:t>
      </w:r>
    </w:p>
    <w:p>
      <w:pPr>
        <w:spacing w:line="312" w:lineRule="auto"/>
        <w:ind w:left="283"/>
      </w:pPr>
      <w:r>
        <w:rPr>
          <w:sz w:val="21"/>
        </w:rPr>
        <w:t>建材高騰による原価アップと需要減退による販売不振が重なり、中小工務店様の経営を圧迫しています。倒産の主因が「コスト超過型」と「需要減少型」の複合型へと変化しており、この複合リスクに対し、根本的な経営体質の強化が急務です。</w:t>
      </w:r>
    </w:p>
    <w:p>
      <w:pPr>
        <w:spacing w:before="200" w:after="80"/>
      </w:pPr>
      <w:r>
        <w:rPr>
          <w:b/>
          <w:color w:val="2E75B6"/>
          <w:sz w:val="25"/>
        </w:rPr>
        <w:t>逆境を好機に変える戦略的アプローチ</w:t>
      </w:r>
    </w:p>
    <w:p>
      <w:pPr>
        <w:spacing w:before="120" w:after="40"/>
      </w:pPr>
      <w:r>
        <w:rPr>
          <w:b/>
          <w:sz w:val="21"/>
        </w:rPr>
        <w:t>■ 「価格」ではなく「価値」で選ばれるUSPの確立</w:t>
      </w:r>
    </w:p>
    <w:p>
      <w:pPr>
        <w:spacing w:line="312" w:lineRule="auto"/>
        <w:ind w:left="283"/>
      </w:pPr>
      <w:r>
        <w:rPr>
          <w:sz w:val="21"/>
        </w:rPr>
        <w:t>このような時代だからこそ、「なぜ自社を選ぶべきか」という問いに対する明確な答えを持つことが重要です。坪単価や価格競争から脱却し、省エネ性能、デザイン、サポート体制など、貴社ならではのUSP（Unique Selling Proposition）を徹底的に磨き上げ、お客様に「この会社だから建てたい」と強く感じていただける価値訴求を強化することが、これからの受注を左右します。</w:t>
      </w:r>
    </w:p>
    <w:p>
      <w:pPr>
        <w:spacing w:before="120" w:after="40"/>
      </w:pPr>
      <w:r>
        <w:rPr>
          <w:b/>
          <w:sz w:val="21"/>
        </w:rPr>
        <w:t>■ 「今が買い時」を醸成する顧客コミュニケーション</w:t>
      </w:r>
    </w:p>
    <w:p>
      <w:pPr>
        <w:spacing w:line="312" w:lineRule="auto"/>
        <w:ind w:left="283"/>
      </w:pPr>
      <w:r>
        <w:rPr>
          <w:sz w:val="21"/>
        </w:rPr>
        <w:t>金利や建材価格の上昇を、単なるネガティブ要因で終わらせてはなりません。お客様が抱える「お金の不安」に正面から向き合い、具体的なシミュレーションや、省エネ補助金制度（住宅省エネ2026キャンペーンなど）をフル活用した提案で安心を提供します。そして、「将来的なさらなる高騰リスク」を丁寧に説明し、今決断することのメリットを訴えることで、「今こそ買い時」という感覚を醸成する顧客コミュニケーションが受注を動かします。</w:t>
      </w:r>
    </w:p>
    <w:p>
      <w:pPr>
        <w:spacing w:before="120" w:after="40"/>
      </w:pPr>
      <w:r>
        <w:rPr>
          <w:b/>
          <w:sz w:val="21"/>
        </w:rPr>
        <w:t>■ 中長期的な顧客資産の育成と「土地なし」層の開拓</w:t>
      </w:r>
    </w:p>
    <w:p>
      <w:pPr>
        <w:spacing w:line="312" w:lineRule="auto"/>
        <w:ind w:left="283"/>
      </w:pPr>
      <w:r>
        <w:rPr>
          <w:sz w:val="21"/>
        </w:rPr>
        <w:t>短期的な集客に依存せず、見込み顧客を「顧客資産」として中長期的に育成する仕組みが不可欠です。特に土地なし顧客は、土地探しからサポートすることで、貴社へのロイヤルティを高め、将来の受注へと結びつけることができます。丁寧な追客を通じて顧客を温め、集客数に左右されない安定した受注基盤を構築することが、これからの持続的成長の要となります。</w:t>
      </w:r>
    </w:p>
    <w:p>
      <w:pPr>
        <w:spacing w:before="200" w:after="80"/>
      </w:pPr>
      <w:r>
        <w:rPr>
          <w:b/>
          <w:color w:val="2E75B6"/>
          <w:sz w:val="25"/>
        </w:rPr>
        <w:t>現場実践と未来への備え</w:t>
      </w:r>
    </w:p>
    <w:p>
      <w:pPr>
        <w:spacing w:before="120" w:after="40"/>
      </w:pPr>
      <w:r>
        <w:rPr>
          <w:b/>
          <w:sz w:val="21"/>
        </w:rPr>
        <w:t>■ 顧客への透明性の確保と早期意思決定の推進</w:t>
      </w:r>
    </w:p>
    <w:p>
      <w:pPr>
        <w:spacing w:line="312" w:lineRule="auto"/>
        <w:ind w:left="283"/>
      </w:pPr>
      <w:r>
        <w:rPr>
          <w:sz w:val="21"/>
        </w:rPr>
        <w:t>資材高騰や供給不足による納期遅延のリスクは、商談初期から顧客へ包み隠さず説明することが信頼構築の第一歩です。意思決定の遅れが顧客自身の不利益につながる可能性を具体的に伝え、早期発注・早期契約のメリットを提示することで、スムーズなプロジェクト進行と顧客満足度向上を図ります。</w:t>
      </w:r>
    </w:p>
    <w:p>
      <w:pPr>
        <w:spacing w:before="120" w:after="40"/>
      </w:pPr>
      <w:r>
        <w:rPr>
          <w:b/>
          <w:sz w:val="21"/>
        </w:rPr>
        <w:t>■ サプライチェーンの強化と柔軟な調達戦略</w:t>
      </w:r>
    </w:p>
    <w:p>
      <w:pPr>
        <w:spacing w:line="312" w:lineRule="auto"/>
        <w:ind w:left="283"/>
      </w:pPr>
      <w:r>
        <w:rPr>
          <w:sz w:val="21"/>
        </w:rPr>
        <w:t>特定の資材やサプライヤーへの依存度を低減し、複数の仕入れ先を確保することが重要です。また、設計段階から代替材の提案力を高め、供給不安のある資材に柔軟に対応できる体制を構築することで、工事の停滞リスクを最小限に抑え、工期遅延による機会損失を防ぎます。</w:t>
      </w:r>
    </w:p>
    <w:p>
      <w:pPr>
        <w:spacing w:before="120" w:after="40"/>
      </w:pPr>
      <w:r>
        <w:rPr>
          <w:b/>
          <w:sz w:val="21"/>
        </w:rPr>
        <w:t>■ デジタルを活用した集客・追客体制の強化</w:t>
      </w:r>
    </w:p>
    <w:p>
      <w:pPr>
        <w:spacing w:line="312" w:lineRule="auto"/>
        <w:ind w:left="283"/>
      </w:pPr>
      <w:r>
        <w:rPr>
          <w:sz w:val="21"/>
        </w:rPr>
        <w:t>ブランディングを意識したWebサイトやSNS運用に加え、AIを活用した広告やクリエイティブの内製化は、中小工務店様にとっても現実的な選択肢となりつつあります。単なる外注に終わらせず、貴社の強みを反映した戦略的なデジタル運用と、検討フェーズに応じたきめ細やかな追客を組み合わせることで、効率的な集客と受注効率の向上に繋がります。</w:t>
      </w:r>
    </w:p>
    <w:p/>
    <w:p>
      <w:pPr>
        <w:spacing w:line="312" w:lineRule="auto"/>
      </w:pPr>
      <w:r>
        <w:rPr>
          <w:color w:val="444444"/>
          <w:sz w:val="20"/>
        </w:rPr>
        <w:t>金利や建材高騰という外部環境の変化は、確かに大きな逆風です。しかし、この逆風は同時に、貴社が自社の強みを再定義し、お客様との関係性を深める絶好の好機でもあります。「なぜ今、自社を選ぶべきか」という問いへの明確な答えを持ち、お客様の不安に寄り添うことで、選ばれる会社として更なる成長を遂げることが可能です。</w:t>
        <w:br/>
        <w:t>※本レポートはあくまで情報提供としての事例共有であり、実施は十分ご検討のうえご対応ください。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