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2E75B6"/>
        </w:pBdr>
      </w:pPr>
      <w:r>
        <w:rPr>
          <w:b/>
          <w:color w:val="1F3A5F"/>
          <w:sz w:val="32"/>
        </w:rPr>
        <w:t>住宅業界の市場動向と戦略2026：価格高騰時代における成長の処方箋</w:t>
      </w:r>
    </w:p>
    <w:p>
      <w:pPr>
        <w:jc w:val="right"/>
      </w:pPr>
      <w:r>
        <w:rPr>
          <w:color w:val="666666"/>
          <w:sz w:val="18"/>
        </w:rPr>
        <w:t>2026年07月05日</w:t>
      </w:r>
    </w:p>
    <w:p/>
    <w:p>
      <w:pPr>
        <w:spacing w:before="200" w:after="80"/>
      </w:pPr>
      <w:r>
        <w:rPr>
          <w:b/>
          <w:color w:val="2E75B6"/>
          <w:sz w:val="25"/>
        </w:rPr>
        <w:t>収益構造を盤石にする！「価格上昇」を「買い時」に変える戦略</w:t>
      </w:r>
    </w:p>
    <w:p>
      <w:pPr>
        <w:spacing w:before="120" w:after="40"/>
      </w:pPr>
      <w:r>
        <w:rPr>
          <w:b/>
          <w:sz w:val="21"/>
        </w:rPr>
        <w:t>■ 「金利上昇リスク」を「購買意欲」へ転換する話法</w:t>
      </w:r>
    </w:p>
    <w:p>
      <w:pPr>
        <w:spacing w:line="312" w:lineRule="auto"/>
        <w:ind w:left="283"/>
      </w:pPr>
      <w:r>
        <w:rPr>
          <w:sz w:val="21"/>
        </w:rPr>
        <w:t>2026年7月現在、住宅ローン金利は横ばい傾向ですが、将来的な上昇リスクは無視できません。この状況は、お客様にとって「早期決断しなければ損をする」という「買い時感」を演出する絶好の機会となり得ます。変動金利型ローンの金利上昇可能性を具体的に提示し、早期契約がもたらすメリット（例：月々の返済額を固定できる、将来的な金利上昇分を回避できる）を丁寧に説明することで、お客様の不安を払拭し、むしろ購買意欲を掻き立てる営業展開を推奨します。</w:t>
      </w:r>
    </w:p>
    <w:p>
      <w:pPr>
        <w:spacing w:before="120" w:after="40"/>
      </w:pPr>
      <w:r>
        <w:rPr>
          <w:b/>
          <w:sz w:val="21"/>
        </w:rPr>
        <w:t>■ 資材価格上昇を「付加価値」に変えるUSP強化</w:t>
      </w:r>
    </w:p>
    <w:p>
      <w:pPr>
        <w:spacing w:line="312" w:lineRule="auto"/>
        <w:ind w:left="283"/>
      </w:pPr>
      <w:r>
        <w:rPr>
          <w:sz w:val="21"/>
        </w:rPr>
        <w:t>一部建材・設備機器の価格上昇は、工務店にとってコスト増の脅威である一方、お客様にとっては「品質の証」とも捉えられます。円安や国際情勢の混乱といった背景を正直に説明しつつ、当社の強みである「高品質な断熱材」「信頼できる仕入れルート」「省エネ性能の高い高付加価値設備」などを、具体的に、かつ価格上昇の理由と結びつけて訴求することが重要です。代替資材の活用や仕入れルートの見直しといった経営努力を、そのままお客様への「確かな品質」という価値に転換することで、価格ではなく「選ばれる理由」を確立します。</w:t>
      </w:r>
    </w:p>
    <w:p>
      <w:pPr>
        <w:spacing w:before="200" w:after="80"/>
      </w:pPr>
      <w:r>
        <w:rPr>
          <w:b/>
          <w:color w:val="2E75B6"/>
          <w:sz w:val="25"/>
        </w:rPr>
        <w:t>顧客価値観の変化を捉え、持続的な成長基盤を築く</w:t>
      </w:r>
    </w:p>
    <w:p>
      <w:pPr>
        <w:spacing w:before="120" w:after="40"/>
      </w:pPr>
      <w:r>
        <w:rPr>
          <w:b/>
          <w:sz w:val="21"/>
        </w:rPr>
        <w:t>■ 「健康・快適・省エネ」を標準装備としたUSPの再構築</w:t>
      </w:r>
    </w:p>
    <w:p>
      <w:pPr>
        <w:spacing w:line="312" w:lineRule="auto"/>
        <w:ind w:left="283"/>
      </w:pPr>
      <w:r>
        <w:rPr>
          <w:sz w:val="21"/>
        </w:rPr>
        <w:t>2026年4月からの省エネ基準義務化は、もはや「対応」ではなく「標準」です。断熱性能や高効率設備への初期投資増加は避けられませんが、これを「光熱費削減」という長期的な顧客メリットに結びつけ、差別化の核とすべきです。さらに、テレワーク定着や健康志向の高まりから、在宅ワークスペース、換気システム、自然素材、屋外空間への関心が高まっています。これらの顧客ニーズを先回りし、標準仕様やオプションとして提案することで、単なる「住まい」ではなく「心地よく健康に暮らせる空間」を提供できる工務店としてのUSPを明確に打ち出しましょう。</w:t>
      </w:r>
    </w:p>
    <w:p>
      <w:pPr>
        <w:spacing w:before="120" w:after="40"/>
      </w:pPr>
      <w:r>
        <w:rPr>
          <w:b/>
          <w:sz w:val="21"/>
        </w:rPr>
        <w:t>■ SNSと補助金制度を連携させた「土地なし顧客」育成戦略</w:t>
      </w:r>
    </w:p>
    <w:p>
      <w:pPr>
        <w:spacing w:line="312" w:lineRule="auto"/>
        <w:ind w:left="283"/>
      </w:pPr>
      <w:r>
        <w:rPr>
          <w:sz w:val="21"/>
        </w:rPr>
        <w:t>InstagramやYouTubeでの魅力的な施工事例発信、バーチャル見学ツアー、オンライン相談会といったデジタルマーケティングは、認知度向上だけでなく、具体的な見込み客創出に直結しています。特に、子育てエコホーム支援事業やZEH支援事業といった補助金制度を効果的に活用し、「自己資金が少なくても、最新の省エネ住宅が購入できる」というメッセージを発信することで、土地なし層のお客様の不安を解消し、検討段階からの関係構築を強化できます。補助金情報をいち早くキャッチアップし、迅速な提案に繋げる体制を整えることが、中長期的な受注拡大の鍵となります。</w:t>
      </w:r>
    </w:p>
    <w:p/>
    <w:p>
      <w:pPr>
        <w:spacing w:line="312" w:lineRule="auto"/>
      </w:pPr>
      <w:r>
        <w:rPr>
          <w:color w:val="444444"/>
          <w:sz w:val="20"/>
        </w:rPr>
        <w:t>市場環境は変化していますが、これらはすべて「今」だからこそできる、顧客価値を高め、受注を伸ばすためのチャンスです。ご紹介した視点を参考に、貴社の強みを再確認し、具体的な戦略へと落とし込んでいただければ幸いです。</w:t>
        <w:br/>
        <w:t>あくまで情報提供としての事例共有であり、実施は十分ご検討のうえご対応ください。</w:t>
      </w:r>
    </w:p>
    <w:p/>
    <w:p>
      <w:pPr>
        <w:pBdr>
          <w:bottom w:val="single" w:sz="4" w:space="1" w:color="CCCCCC"/>
        </w:pBdr>
      </w:pPr>
    </w:p>
    <w:p>
      <w:pPr>
        <w:spacing w:after="0"/>
      </w:pPr>
      <w:r>
        <w:rPr>
          <w:color w:val="666666"/>
          <w:sz w:val="18"/>
        </w:rPr>
        <w:t>MARKEY CONSULTING</w:t>
      </w:r>
    </w:p>
    <w:p>
      <w:pPr>
        <w:spacing w:after="0"/>
      </w:pPr>
      <w:r>
        <w:rPr>
          <w:color w:val="666666"/>
          <w:sz w:val="18"/>
        </w:rPr>
        <w:t>代表　鶴田　槙人</w:t>
      </w:r>
    </w:p>
    <w:p>
      <w:pPr>
        <w:spacing w:after="0"/>
      </w:pPr>
      <w:r>
        <w:rPr>
          <w:color w:val="666666"/>
          <w:sz w:val="18"/>
        </w:rPr>
        <w:t>https://markey-consulting.com/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游ゴシック" w:hAnsi="游ゴシック" w:eastAsia="游ゴシック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