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2E75B6"/>
        </w:pBdr>
      </w:pPr>
      <w:r>
        <w:rPr>
          <w:b/>
          <w:color w:val="1F3A5F"/>
          <w:sz w:val="32"/>
        </w:rPr>
        <w:t>2026年6月度 市場環境レポート：金利・建材高騰下における住宅市場の機会と課題</w:t>
      </w:r>
    </w:p>
    <w:p>
      <w:pPr>
        <w:jc w:val="right"/>
      </w:pPr>
      <w:r>
        <w:rPr>
          <w:color w:val="666666"/>
          <w:sz w:val="18"/>
        </w:rPr>
        <w:t>2026年06月19日</w:t>
      </w:r>
    </w:p>
    <w:p/>
    <w:p>
      <w:pPr>
        <w:spacing w:before="200" w:after="80"/>
      </w:pPr>
      <w:r>
        <w:rPr>
          <w:b/>
          <w:color w:val="2E75B6"/>
          <w:sz w:val="25"/>
        </w:rPr>
        <w:t>顧客購買行動を左右する市場圧力と資金計画の深化</w:t>
      </w:r>
    </w:p>
    <w:p>
      <w:pPr>
        <w:spacing w:before="120" w:after="40"/>
      </w:pPr>
      <w:r>
        <w:rPr>
          <w:b/>
          <w:sz w:val="21"/>
        </w:rPr>
        <w:t>■ 金利上昇と変動型住宅ローンへの傾倒</w:t>
      </w:r>
    </w:p>
    <w:p>
      <w:pPr>
        <w:spacing w:line="312" w:lineRule="auto"/>
        <w:ind w:left="283"/>
      </w:pPr>
      <w:r>
        <w:rPr>
          <w:sz w:val="21"/>
        </w:rPr>
        <w:t>現状、変動金利は依然低水準を維持するものの、固定金利型住宅ローン、特にフラット35の金利は高止まりが続いており、これが顧客の資金計画に大きな影響を与えています。住宅購入希望者は月々の返済額を抑えるため、変動金利型の選択を強く志向する傾向が顕著です。この状況下では、単に変動金利を推奨するだけでなく、将来の金利変動リスクを十分に説明し、ライフプランを踏まえた詳細な資金シミュレーションを提供することで、顧客の安心と信頼を勝ち取ることが商談成約の鍵となります。</w:t>
      </w:r>
    </w:p>
    <w:p>
      <w:pPr>
        <w:spacing w:before="120" w:after="40"/>
      </w:pPr>
      <w:r>
        <w:rPr>
          <w:b/>
          <w:sz w:val="21"/>
        </w:rPr>
        <w:t>■ 着工鈍化と補助金活用による購買意欲喚起</w:t>
      </w:r>
    </w:p>
    <w:p>
      <w:pPr>
        <w:spacing w:line="312" w:lineRule="auto"/>
        <w:ind w:left="283"/>
      </w:pPr>
      <w:r>
        <w:rPr>
          <w:sz w:val="21"/>
        </w:rPr>
        <w:t>2026年に入っても新設住宅着工戸数の鈍化は続き、特に持ち家市場は厳しい状況にあります。金利上昇と資材高騰が消費者の購買意欲を減退させていることが主因です。このような状況では、集客から商談における初期段階で、顧客の漠然とした不安を具体的に解消する提案が不可欠です。例えば、まだ詳細が未発表の2026年度住宅関連補助金（子育てエコホーム支援事業の後継など）についても、現時点で想定される利用条件やメリットを先んじて伝え、予算計画に組み込むことで、具体的な購買メリットを早期に提示し、顧客の検討段階を前進させることが期待されます。大手HMが補助金を積極的に活用している点を参考に、貴社も情報収集を徹底し、提案準備を進めるべきです。</w:t>
      </w:r>
    </w:p>
    <w:p>
      <w:pPr>
        <w:spacing w:before="200" w:after="80"/>
      </w:pPr>
      <w:r>
        <w:rPr>
          <w:b/>
          <w:color w:val="2E75B6"/>
          <w:sz w:val="25"/>
        </w:rPr>
        <w:t>原価構造と生産性を再構築する視点</w:t>
      </w:r>
    </w:p>
    <w:p>
      <w:pPr>
        <w:spacing w:before="120" w:after="40"/>
      </w:pPr>
      <w:r>
        <w:rPr>
          <w:b/>
          <w:sz w:val="21"/>
        </w:rPr>
        <w:t>■ 建材高騰・円安の常態化とサプライチェーンの再考</w:t>
      </w:r>
    </w:p>
    <w:p>
      <w:pPr>
        <w:spacing w:line="312" w:lineRule="auto"/>
        <w:ind w:left="283"/>
      </w:pPr>
      <w:r>
        <w:rPr>
          <w:sz w:val="21"/>
        </w:rPr>
        <w:t>輸入建材を中心に、木材、鉄鋼、設備機器の価格高騰は2026年現在も継続し、一部では再上昇の動きも見られます。これに加えて、円安ドル高の状況も輸入原価を直接的に圧迫しており、貴社の粗利を大きく左右する脅威となっています。見積もり段階での原価計算の精度向上はもちろん、設計段階で国産材や国内メーカーの代替品を積極的に提案できる体制を構築することが重要です。また、安定的な資材調達のためには、特定のサプライヤーに依存せず、複数の調達ルートを確保し、早期発注や共同仕入れなど、コストとリスクを分散させる戦略的なサプライチェーンマネジメントが求められます。</w:t>
      </w:r>
    </w:p>
    <w:p>
      <w:pPr>
        <w:spacing w:before="120" w:after="40"/>
      </w:pPr>
      <w:r>
        <w:rPr>
          <w:b/>
          <w:sz w:val="21"/>
        </w:rPr>
        <w:t>■ 省エネ基準義務化と人手不足への対応</w:t>
      </w:r>
    </w:p>
    <w:p>
      <w:pPr>
        <w:spacing w:line="312" w:lineRule="auto"/>
        <w:ind w:left="283"/>
      </w:pPr>
      <w:r>
        <w:rPr>
          <w:sz w:val="21"/>
        </w:rPr>
        <w:t>2025年4月からの省エネ基準適合義務化はすでに施行されており、これへの対応は全事業者にとって必須となりました。準備が遅れた企業は、仕様変更に伴うコスト増と対応工数の増大に直面している一方で、先行してZEH水準などを標準化している企業は、差別化と補助金活用で優位性を確立しています。さらに、建設業界全体の人手不足は深刻化の一途を辿り、特にベテラン職人の高齢化と若年層の入職者減少は、工期の長期化とコスト増の大きな要因です。これに対し、施工の標準化・モジュール化や、BIM/CIM活用によるDX推進で現場管理の効率化を図り、協力会社との長期的な関係構築を通じて安定的な施工体制を確保することが、持続的な事業運営には不可欠です。</w:t>
      </w:r>
    </w:p>
    <w:p>
      <w:pPr>
        <w:spacing w:before="200" w:after="80"/>
      </w:pPr>
      <w:r>
        <w:rPr>
          <w:b/>
          <w:color w:val="2E75B6"/>
          <w:sz w:val="25"/>
        </w:rPr>
        <w:t>持続的成長に向けた事業戦略の転換</w:t>
      </w:r>
    </w:p>
    <w:p>
      <w:pPr>
        <w:spacing w:before="120" w:after="40"/>
      </w:pPr>
      <w:r>
        <w:rPr>
          <w:b/>
          <w:sz w:val="21"/>
        </w:rPr>
        <w:t>■ 大手ハウスメーカーの勝ち筋から学ぶ差別化戦略</w:t>
      </w:r>
    </w:p>
    <w:p>
      <w:pPr>
        <w:spacing w:line="312" w:lineRule="auto"/>
        <w:ind w:left="283"/>
      </w:pPr>
      <w:r>
        <w:rPr>
          <w:sz w:val="21"/>
        </w:rPr>
        <w:t>大手ハウスメーカーは、資材調達のスケールメリットを活かして価格転嫁を進める傍ら、ZEH水準の住宅を標準化し、補助金制度の活用を前面に出して顧客獲得を目指しています。中小・地域工務店が単に価格で追随することは困難ですが、この動きから学ぶべきは「価値提案」の重要性です。例えば、大手HMが標準とするZEH水準を貴社も標準化することで、補助金活用を前提とした顧客への訴求力を高めることができます。さらに、地域密着ならではのきめ細やかなアフターサービスや、地域特性に合わせた独自の設計提案、地域経済への貢献といった強みを明確に打ち出すことで、大手HMとは異なる独自の「勝ち筋」を確立し、市場での差別化を図るべきです。</w:t>
      </w:r>
    </w:p>
    <w:p>
      <w:pPr>
        <w:spacing w:before="120" w:after="40"/>
      </w:pPr>
      <w:r>
        <w:rPr>
          <w:b/>
          <w:sz w:val="21"/>
        </w:rPr>
        <w:t>■ 生産性向上と地域連携による競争力強化</w:t>
      </w:r>
    </w:p>
    <w:p>
      <w:pPr>
        <w:spacing w:line="312" w:lineRule="auto"/>
        <w:ind w:left="283"/>
      </w:pPr>
      <w:r>
        <w:rPr>
          <w:sz w:val="21"/>
        </w:rPr>
        <w:t>厳しい市場環境下で持続的な成長を遂げるためには、短期的な対症療法に留まらず、生産性向上と事業体制の仕組み化が不可欠です。前述の人手不足や資材高騰に対し、プレカット工法の積極導入、現場での施工効率を高める工夫、そしてICTを活用した情報連携強化は、工期短縮とコスト削減に直結します。また、地域工務店同士の連携も視野に入れるべきです。共同での資材仕入れによりコストメリットを享受したり、共同で職人育成に取り組んだりすることで、個社だけでは難しい課題を乗り越える可能性があります。地元の競合との競争も意識しつつ、「全国で伸びている会社」の視点を取り入れ、常に事業を最適化していく姿勢が求められます。</w:t>
      </w:r>
    </w:p>
    <w:p/>
    <w:p>
      <w:pPr>
        <w:spacing w:line="312" w:lineRule="auto"/>
      </w:pPr>
      <w:r>
        <w:rPr>
          <w:color w:val="444444"/>
          <w:sz w:val="20"/>
        </w:rPr>
        <w:t>この市場環境レポートが、貴社の「次の一手」を考える上での一助となれば幸いです。市場の不確実性が高まる中、冷静かつ戦略的な視点での事業運営がより一層重要となります。記載の施策はあくまで情報提供としての事例共有であり、実施は貴社の経営状況や戦略方針を十分ご検討のうえご対応ください。</w:t>
      </w:r>
    </w:p>
    <w:p/>
    <w:p>
      <w:pPr>
        <w:pBdr>
          <w:bottom w:val="single" w:sz="4" w:space="1" w:color="CCCCCC"/>
        </w:pBdr>
      </w:pPr>
    </w:p>
    <w:p>
      <w:pPr>
        <w:spacing w:after="0"/>
      </w:pPr>
      <w:r>
        <w:rPr>
          <w:color w:val="666666"/>
          <w:sz w:val="18"/>
        </w:rPr>
        <w:t>MARKEY CONSULTING</w:t>
      </w:r>
    </w:p>
    <w:p>
      <w:pPr>
        <w:spacing w:after="0"/>
      </w:pPr>
      <w:r>
        <w:rPr>
          <w:color w:val="666666"/>
          <w:sz w:val="18"/>
        </w:rPr>
        <w:t>代表　鶴田　槙人</w:t>
      </w:r>
    </w:p>
    <w:p>
      <w:pPr>
        <w:spacing w:after="0"/>
      </w:pPr>
      <w:r>
        <w:rPr>
          <w:color w:val="666666"/>
          <w:sz w:val="18"/>
        </w:rPr>
        <w:t>https://markey-consulting.com/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