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2E75B6"/>
        </w:pBdr>
      </w:pPr>
      <w:r>
        <w:rPr>
          <w:b/>
          <w:color w:val="1F3A5F"/>
          <w:sz w:val="32"/>
        </w:rPr>
        <w:t>中東情勢の再燃と建材価格への影響・市場環境変化への各社対応方針事例</w:t>
      </w:r>
    </w:p>
    <w:p>
      <w:pPr>
        <w:jc w:val="right"/>
      </w:pPr>
      <w:r>
        <w:rPr>
          <w:color w:val="666666"/>
          <w:sz w:val="18"/>
        </w:rPr>
        <w:t>2026年6月17日</w:t>
      </w:r>
    </w:p>
    <w:p/>
    <w:p>
      <w:pPr>
        <w:spacing w:before="200" w:after="80"/>
      </w:pPr>
      <w:r>
        <w:rPr>
          <w:b/>
          <w:color w:val="2E75B6"/>
          <w:sz w:val="25"/>
        </w:rPr>
        <w:t>受注関連の対応方針（他社事例）</w:t>
      </w:r>
    </w:p>
    <w:p>
      <w:pPr>
        <w:spacing w:before="120" w:after="40"/>
      </w:pPr>
      <w:r>
        <w:rPr>
          <w:b/>
          <w:sz w:val="21"/>
        </w:rPr>
        <w:t>■ 価格転嫁と高付加価値戦略</w:t>
      </w:r>
    </w:p>
    <w:p>
      <w:pPr>
        <w:spacing w:line="312" w:lineRule="auto"/>
        <w:ind w:left="283"/>
      </w:pPr>
      <w:r>
        <w:rPr>
          <w:sz w:val="21"/>
        </w:rPr>
        <w:t>原材料価格高騰が続く中、他社では価格改定を実施しつつも、単なる値上げに留まらず、高性能・省エネ住宅など「量より質」を求める顧客ニーズに合致した高付加価値提案を強化する傾向が見受けられます。過去5年で建設資材費が平均39%上昇した状況を背景に、性能向上による長期的なランニングコスト削減効果を明確に提示し、顧客の納得感を得る戦略が優位な印象です。</w:t>
      </w:r>
    </w:p>
    <w:p>
      <w:pPr>
        <w:spacing w:before="120" w:after="40"/>
      </w:pPr>
      <w:r>
        <w:rPr>
          <w:b/>
          <w:sz w:val="21"/>
        </w:rPr>
        <w:t>■ 契約時の透明性確保と顧客理解の深化</w:t>
      </w:r>
    </w:p>
    <w:p>
      <w:pPr>
        <w:spacing w:line="312" w:lineRule="auto"/>
        <w:ind w:left="283"/>
      </w:pPr>
      <w:r>
        <w:rPr>
          <w:sz w:val="21"/>
        </w:rPr>
        <w:t>資材価格の変動や供給不安が継続する中で、多くの企業が契約締結前に、資材調達の現状や将来的な価格変動、納期遅延のリスクについて詳細に説明する方針を採用しています。特に石油由来建材の影響が顕著な断熱材や塗料、ユニットバス等について、代替案の検討期間を含め顧客との合意形成を早期に行うことで、契約後のトラブル防止に努めています。</w:t>
      </w:r>
    </w:p>
    <w:p>
      <w:pPr>
        <w:spacing w:before="120" w:after="40"/>
      </w:pPr>
      <w:r>
        <w:rPr>
          <w:b/>
          <w:sz w:val="21"/>
        </w:rPr>
        <w:t>■ 営業戦略のデジタルシフト</w:t>
      </w:r>
    </w:p>
    <w:p>
      <w:pPr>
        <w:spacing w:line="312" w:lineRule="auto"/>
        <w:ind w:left="283"/>
      </w:pPr>
      <w:r>
        <w:rPr>
          <w:sz w:val="21"/>
        </w:rPr>
        <w:t>人手不足と資材コスト上昇の課題に対し、AIを活用した営業改革を進める事例が増加しています。具体的には、顧客データの分析に基づくパーソナライズされた提案や、オンライン商談システムによる効率的なアプローチを通じて、商談期間の短縮や受注確度の向上を図り、経営資源をより戦略的な活動に集中させることを推奨します。</w:t>
      </w:r>
    </w:p>
    <w:p>
      <w:pPr>
        <w:spacing w:before="120" w:after="40"/>
      </w:pPr>
      <w:r>
        <w:rPr>
          <w:b/>
          <w:sz w:val="21"/>
        </w:rPr>
        <w:t>■ 高性能・省エネ住宅への注力</w:t>
      </w:r>
    </w:p>
    <w:p>
      <w:pPr>
        <w:spacing w:line="312" w:lineRule="auto"/>
        <w:ind w:left="283"/>
      </w:pPr>
      <w:r>
        <w:rPr>
          <w:sz w:val="21"/>
        </w:rPr>
        <w:t>市場が新築着工数の減少傾向にある中で、大手住宅メーカーの一部が2桁増の受注を記録している背景には、高性能・省エネ住宅への明確な注力が見られます。長期優良住宅やZEH（ゼッチ）基準を上回る住宅を標準仕様とすることで、省エネ意識の高い顧客層を獲得し、価格競争ではなく価値競争での優位性を確立しています。</w:t>
      </w:r>
    </w:p>
    <w:p>
      <w:pPr>
        <w:spacing w:before="200" w:after="80"/>
      </w:pPr>
      <w:r>
        <w:rPr>
          <w:b/>
          <w:color w:val="2E75B6"/>
          <w:sz w:val="25"/>
        </w:rPr>
        <w:t>工事関連の対応方針（他社事例）</w:t>
      </w:r>
    </w:p>
    <w:p>
      <w:pPr>
        <w:spacing w:before="120" w:after="40"/>
      </w:pPr>
      <w:r>
        <w:rPr>
          <w:b/>
          <w:sz w:val="21"/>
        </w:rPr>
        <w:t>■ サプライチェーンの強靭化</w:t>
      </w:r>
    </w:p>
    <w:p>
      <w:pPr>
        <w:spacing w:line="312" w:lineRule="auto"/>
        <w:ind w:left="283"/>
      </w:pPr>
      <w:r>
        <w:rPr>
          <w:sz w:val="21"/>
        </w:rPr>
        <w:t>中東情勢の緊迫化による物流混乱やナフサ不足が資材供給に影響を与える中、多くの企業が協力業者との定期的な情報共有会を開催し、資材調達状況や市場動向を密に連携しています。また、単一メーカー依存からの脱却を図り、複数のサプライヤーからの資材調達ルートを確保することで、供給リスクの分散と安定化を図る動きが加速しています。</w:t>
      </w:r>
    </w:p>
    <w:p>
      <w:pPr>
        <w:spacing w:before="120" w:after="40"/>
      </w:pPr>
      <w:r>
        <w:rPr>
          <w:b/>
          <w:sz w:val="21"/>
        </w:rPr>
        <w:t>■ 市況モニタリングと柔軟な仕入れ戦略</w:t>
      </w:r>
    </w:p>
    <w:p>
      <w:pPr>
        <w:spacing w:line="312" w:lineRule="auto"/>
        <w:ind w:left="283"/>
      </w:pPr>
      <w:r>
        <w:rPr>
          <w:sz w:val="21"/>
        </w:rPr>
        <w:t>直近1週間での原油価格急落は一時的なブレーキとなり得るものの、建材価格の高騰は広範囲で継続しています。このため、他社では専門部署が国際原油価格やナフサ価格、海上運賃といった指標を継続的にモニタリングし、価格変動リスクを早期に察知しています。これに基づき、価格優位性のあるタイミングでの先行発注や、代替資材・部材への切り替え検討など、柔軟な仕入れ戦略を展開しています。</w:t>
      </w:r>
    </w:p>
    <w:p>
      <w:pPr>
        <w:spacing w:before="120" w:after="40"/>
      </w:pPr>
      <w:r>
        <w:rPr>
          <w:b/>
          <w:sz w:val="21"/>
        </w:rPr>
        <w:t>■ DXによる施工管理と生産性向上</w:t>
      </w:r>
    </w:p>
    <w:p>
      <w:pPr>
        <w:spacing w:line="312" w:lineRule="auto"/>
        <w:ind w:left="283"/>
      </w:pPr>
      <w:r>
        <w:rPr>
          <w:sz w:val="21"/>
        </w:rPr>
        <w:t>建設資材費の大幅上昇や工期遅延リスクに対応するため、施工・現場管理のデジタル化が喫緊の課題とされています。BIM（Building Information Modeling）の導入による資材の最適化や、クラウド型施工管理ツールの活用による進捗状況のリアルタイム共有は、現場の効率化を大幅に向上させ、工期遅延の抑制とコスト削減に寄与するものです。</w:t>
      </w:r>
    </w:p>
    <w:p>
      <w:pPr>
        <w:spacing w:before="120" w:after="40"/>
      </w:pPr>
      <w:r>
        <w:rPr>
          <w:b/>
          <w:sz w:val="21"/>
        </w:rPr>
        <w:t>■ 顧客へのタイムリーな情報提供</w:t>
      </w:r>
    </w:p>
    <w:p>
      <w:pPr>
        <w:spacing w:line="312" w:lineRule="auto"/>
        <w:ind w:left="283"/>
      </w:pPr>
      <w:r>
        <w:rPr>
          <w:sz w:val="21"/>
        </w:rPr>
        <w:t>資材供給の不安定さが継続する中で、工期の大幅遅延や提案内容の制約が生じるリスクがあります。他社では、着工後の顧客に対し、資材の納入状況や現場の進捗、それに伴うスケジュール変更の可能性について、定期的な進捗報告会や専用のWebポータルを通じて、透明性の高い情報提供を徹底しています。これにより、顧客の不安を軽減し、信頼関係の維持に努めています。</w:t>
      </w:r>
    </w:p>
    <w:p/>
    <w:p>
      <w:pPr>
        <w:spacing w:line="312" w:lineRule="auto"/>
      </w:pPr>
      <w:r>
        <w:rPr>
          <w:color w:val="444444"/>
          <w:sz w:val="20"/>
        </w:rPr>
        <w:t>全般的に、変化の激しい市場環境において、情報収集能力の強化、そしてそれを経営戦略や具体的な行動計画へと落とし込み、全社員への対応方針の明確化が肝要であると考えられます。</w:t>
        <w:br/>
        <w:t>※本レポートはあくまで情報提供としての事例共有であり、各社の状況に応じた具体的な施策実施については、十分ご検討のうえご対応ください。</w:t>
      </w:r>
    </w:p>
    <w:p/>
    <w:p>
      <w:pPr>
        <w:pBdr>
          <w:bottom w:val="single" w:sz="4" w:space="1" w:color="CCCCCC"/>
        </w:pBdr>
      </w:pPr>
    </w:p>
    <w:p>
      <w:pPr>
        <w:spacing w:after="0"/>
      </w:pPr>
      <w:r>
        <w:rPr>
          <w:color w:val="666666"/>
          <w:sz w:val="18"/>
        </w:rPr>
        <w:t>MARKEY CONSULTING</w:t>
      </w:r>
    </w:p>
    <w:p>
      <w:pPr>
        <w:spacing w:after="0"/>
      </w:pPr>
      <w:r>
        <w:rPr>
          <w:color w:val="666666"/>
          <w:sz w:val="18"/>
        </w:rPr>
        <w:t>代表　鶴田　槙人</w:t>
      </w:r>
    </w:p>
    <w:p>
      <w:pPr>
        <w:spacing w:after="0"/>
      </w:pPr>
      <w:r>
        <w:rPr>
          <w:color w:val="666666"/>
          <w:sz w:val="18"/>
        </w:rPr>
        <w:t>https://markey-consulting.com/</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