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2E75B6"/>
        </w:pBdr>
      </w:pPr>
      <w:r>
        <w:rPr>
          <w:b/>
          <w:color w:val="1F3A5F"/>
          <w:sz w:val="32"/>
        </w:rPr>
        <w:t>【10月第4週】住宅ローン金利上昇と補助金継続：建材価格高騰下の経営判断材料</w:t>
      </w:r>
    </w:p>
    <w:p>
      <w:pPr>
        <w:jc w:val="right"/>
      </w:pPr>
      <w:r>
        <w:rPr>
          <w:color w:val="666666"/>
          <w:sz w:val="18"/>
        </w:rPr>
        <w:t>2026年10月25日</w:t>
      </w:r>
    </w:p>
    <w:p/>
    <w:p>
      <w:pPr>
        <w:spacing w:before="200" w:after="80"/>
      </w:pPr>
      <w:r>
        <w:rPr>
          <w:b/>
          <w:color w:val="2E75B6"/>
          <w:sz w:val="25"/>
        </w:rPr>
        <w:t>今週の住宅業界ニュース</w:t>
      </w:r>
    </w:p>
    <w:p>
      <w:pPr>
        <w:spacing w:before="120" w:after="40"/>
      </w:pPr>
      <w:r>
        <w:rPr>
          <w:b/>
          <w:sz w:val="21"/>
        </w:rPr>
        <w:t>■ 住宅ローン金利、一部金融機関で上昇傾向　借り換えニーズ高まる</w:t>
      </w:r>
    </w:p>
    <w:p>
      <w:pPr>
        <w:spacing w:line="312" w:lineRule="auto"/>
        <w:ind w:left="283"/>
      </w:pPr>
      <w:r>
        <w:rPr>
          <w:sz w:val="21"/>
        </w:rPr>
        <w:t>2026年10月現在、変動金利型住宅ローンは0.5%台後半で推移しており、一部金融機関で上昇傾向が見られます。固定金利型も0.1%～0.3%程度上昇しており、借り換えニーズが高まっています。（出典: モゲチェック）</w:t>
      </w:r>
    </w:p>
    <w:p>
      <w:pPr>
        <w:spacing w:before="120" w:after="40"/>
      </w:pPr>
      <w:r>
        <w:rPr>
          <w:b/>
          <w:sz w:val="21"/>
        </w:rPr>
        <w:t>■ 首都圏中古マンション価格、3ヶ月連続で上昇</w:t>
      </w:r>
    </w:p>
    <w:p>
      <w:pPr>
        <w:spacing w:line="312" w:lineRule="auto"/>
        <w:ind w:left="283"/>
      </w:pPr>
      <w:r>
        <w:rPr>
          <w:sz w:val="21"/>
        </w:rPr>
        <w:t>2026年9月時点の首都圏中古マンション価格指数は、前月比0.8%上昇し、370.1（2000年=100）となりました。新築マンション価格も堅調に推移しています。（出典: 東京カンテイ）</w:t>
      </w:r>
    </w:p>
    <w:p>
      <w:pPr>
        <w:spacing w:before="120" w:after="40"/>
      </w:pPr>
      <w:r>
        <w:rPr>
          <w:b/>
          <w:sz w:val="21"/>
        </w:rPr>
        <w:t>■ 省エネ改修支援事業、公募継続も申請枠に限り</w:t>
      </w:r>
    </w:p>
    <w:p>
      <w:pPr>
        <w:spacing w:line="312" w:lineRule="auto"/>
        <w:ind w:left="283"/>
      </w:pPr>
      <w:r>
        <w:rPr>
          <w:sz w:val="21"/>
        </w:rPr>
        <w:t>「住宅省エネ2026キャンペーン」の「子育てエコホーム支援事業」は、2026年10月現在も公募が継続されています。断熱改修や高効率給湯器導入が支援対象ですが、申請枠には限りがある状況です。（出典: 環境省）</w:t>
      </w:r>
    </w:p>
    <w:p>
      <w:pPr>
        <w:spacing w:before="120" w:after="40"/>
      </w:pPr>
      <w:r>
        <w:rPr>
          <w:b/>
          <w:sz w:val="21"/>
        </w:rPr>
        <w:t>■ 建設業倒産件数、前年同月比で増加傾向続く</w:t>
      </w:r>
    </w:p>
    <w:p>
      <w:pPr>
        <w:spacing w:line="312" w:lineRule="auto"/>
        <w:ind w:left="283"/>
      </w:pPr>
      <w:r>
        <w:rPr>
          <w:sz w:val="21"/>
        </w:rPr>
        <w:t>2026年9月における建設業の倒産件数は130件となり、前年同月比で増加傾向が続いています。特に中小規模の工務店での経営悪化が懸念されています。（出典: 東京商工リサーチ）</w:t>
      </w:r>
    </w:p>
    <w:p>
      <w:pPr>
        <w:spacing w:before="200" w:after="80"/>
      </w:pPr>
      <w:r>
        <w:rPr>
          <w:b/>
          <w:color w:val="2E75B6"/>
          <w:sz w:val="25"/>
        </w:rPr>
        <w:t>市況感概要（定点観測）</w:t>
      </w:r>
    </w:p>
    <w:p>
      <w:pPr>
        <w:spacing w:before="120" w:after="40"/>
      </w:pPr>
      <w:r>
        <w:rPr>
          <w:b/>
          <w:sz w:val="21"/>
        </w:rPr>
        <w:t>■ 住宅ローン金利動向</w:t>
      </w:r>
    </w:p>
    <w:p>
      <w:pPr>
        <w:spacing w:line="312" w:lineRule="auto"/>
        <w:ind w:left="283"/>
      </w:pPr>
      <w:r>
        <w:rPr>
          <w:sz w:val="21"/>
        </w:rPr>
        <w:t>2026年10月現在、変動金利型住宅ローンは0.5%台後半で推移しており、一部金融機関では上昇傾向が見られます。固定金利型も0.1%～0.3%程度上昇しています。（出典: モゲチェック）</w:t>
      </w:r>
    </w:p>
    <w:p>
      <w:pPr>
        <w:spacing w:before="120" w:after="40"/>
      </w:pPr>
      <w:r>
        <w:rPr>
          <w:b/>
          <w:sz w:val="21"/>
        </w:rPr>
        <w:t>■ 不動産価格動向</w:t>
      </w:r>
    </w:p>
    <w:p>
      <w:pPr>
        <w:spacing w:line="312" w:lineRule="auto"/>
        <w:ind w:left="283"/>
      </w:pPr>
      <w:r>
        <w:rPr>
          <w:sz w:val="21"/>
        </w:rPr>
        <w:t>2026年9月時点の首都圏中古マンション価格指数は、前月比0.8%上昇し、370.1（2000年=100）となりました。新築マンション価格も堅調に推移しています。（出典: 東京カンテイ）</w:t>
      </w:r>
    </w:p>
    <w:p>
      <w:pPr>
        <w:spacing w:before="120" w:after="40"/>
      </w:pPr>
      <w:r>
        <w:rPr>
          <w:b/>
          <w:sz w:val="21"/>
        </w:rPr>
        <w:t>■ 住宅設備受注動向</w:t>
      </w:r>
    </w:p>
    <w:p>
      <w:pPr>
        <w:spacing w:line="312" w:lineRule="auto"/>
        <w:ind w:left="283"/>
      </w:pPr>
      <w:r>
        <w:rPr>
          <w:sz w:val="21"/>
        </w:rPr>
        <w:t>2026年8月の住宅設備受注額は、前年同月比で増加傾向にあります。資材価格の高騰が続いているため、受注単価の上昇が続いています。（出典: 住宅設備産業協会）</w:t>
      </w:r>
    </w:p>
    <w:p>
      <w:pPr>
        <w:spacing w:before="120" w:after="40"/>
      </w:pPr>
      <w:r>
        <w:rPr>
          <w:b/>
          <w:sz w:val="21"/>
        </w:rPr>
        <w:t>■ 建材価格動向</w:t>
      </w:r>
    </w:p>
    <w:p>
      <w:pPr>
        <w:spacing w:line="312" w:lineRule="auto"/>
        <w:ind w:left="283"/>
      </w:pPr>
      <w:r>
        <w:rPr>
          <w:sz w:val="21"/>
        </w:rPr>
        <w:t>2026年10月時点の主要建材価格は、依然として高水準で推移しています。特に木材や断熱材の価格上昇が、建築コストに影響を与えています。（出典: 業界紙報道）</w:t>
      </w:r>
    </w:p>
    <w:p>
      <w:pPr>
        <w:spacing w:before="120" w:after="40"/>
      </w:pPr>
      <w:r>
        <w:rPr>
          <w:b/>
          <w:sz w:val="21"/>
        </w:rPr>
        <w:t>■ 建設業倒産状況</w:t>
      </w:r>
    </w:p>
    <w:p>
      <w:pPr>
        <w:spacing w:line="312" w:lineRule="auto"/>
        <w:ind w:left="283"/>
      </w:pPr>
      <w:r>
        <w:rPr>
          <w:sz w:val="21"/>
        </w:rPr>
        <w:t>2026年9月における建設業の倒産件数は130件となり、前年同月比で増加傾向が続いています。（出典: 東京商工リサーチ）</w:t>
      </w:r>
    </w:p>
    <w:p>
      <w:pPr>
        <w:spacing w:before="200" w:after="80"/>
      </w:pPr>
      <w:r>
        <w:rPr>
          <w:b/>
          <w:color w:val="2E75B6"/>
          <w:sz w:val="25"/>
        </w:rPr>
        <w:t>まとめ</w:t>
      </w:r>
    </w:p>
    <w:p/>
    <w:p>
      <w:pPr>
        <w:pBdr>
          <w:bottom w:val="single" w:sz="4" w:space="1" w:color="CCCCCC"/>
        </w:pBdr>
      </w:pPr>
    </w:p>
    <w:p>
      <w:pPr>
        <w:spacing w:after="0"/>
      </w:pPr>
      <w:r>
        <w:rPr>
          <w:color w:val="666666"/>
          <w:sz w:val="18"/>
        </w:rPr>
        <w:t>MARKEY CONSULTING</w:t>
      </w:r>
    </w:p>
    <w:p>
      <w:pPr>
        <w:spacing w:after="0"/>
      </w:pPr>
      <w:r>
        <w:rPr>
          <w:color w:val="666666"/>
          <w:sz w:val="18"/>
        </w:rPr>
        <w:t>代表　鶴田　槙人</w:t>
      </w:r>
    </w:p>
    <w:p>
      <w:pPr>
        <w:spacing w:after="0"/>
      </w:pPr>
      <w:r>
        <w:rPr>
          <w:color w:val="666666"/>
          <w:sz w:val="18"/>
        </w:rPr>
        <w:t>https://markey-consulting.com/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