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5F6B55"/>
          <w:sz w:val="22"/>
          <w:szCs w:val="22"/>
        </w:rPr>
        <w:t xml:space="preserve">DevSkill</w:t>
      </w:r>
    </w:p>
    <w:p>
      <w:pPr>
        <w:spacing w:after="200"/>
      </w:pPr>
      <w:r>
        <w:rPr>
          <w:rFonts w:ascii="Calibri" w:cs="Calibri" w:eastAsia="Calibri" w:hAnsi="Calibri"/>
          <w:b/>
          <w:bCs/>
          <w:sz w:val="40"/>
          <w:szCs w:val="40"/>
        </w:rPr>
        <w:t xml:space="preserve">Requirements: gold layer and LLM assessment</w:t>
      </w:r>
    </w:p>
    <w:p>
      <w:pPr>
        <w:spacing w:after="120"/>
      </w:pPr>
      <w:r>
        <w:rPr>
          <w:rFonts w:ascii="Calibri" w:cs="Calibri" w:eastAsia="Calibri" w:hAnsi="Calibri"/>
        </w:rPr>
        <w:t xml:space="preserve">Details of the competences, levels and coding rules are in docs/CODEBOOK.md.</w:t>
      </w:r>
    </w:p>
    <w:p>
      <w:pPr>
        <w:pStyle w:val="Heading1"/>
        <w:spacing w:after="120" w:before="300"/>
      </w:pPr>
      <w:r>
        <w:rPr>
          <w:rFonts w:ascii="Calibri" w:cs="Calibri" w:eastAsia="Calibri" w:hAnsi="Calibri"/>
          <w:b/>
          <w:bCs/>
          <w:sz w:val="30"/>
          <w:szCs w:val="30"/>
        </w:rPr>
        <w:t xml:space="preserve">Goal</w:t>
      </w:r>
    </w:p>
    <w:p>
      <w:pPr>
        <w:spacing w:after="120"/>
      </w:pPr>
      <w:r>
        <w:rPr>
          <w:rFonts w:ascii="Calibri" w:cs="Calibri" w:eastAsia="Calibri" w:hAnsi="Calibri"/>
        </w:rPr>
        <w:t xml:space="preserve">A study tool shows a team lead three developers, one competence at a time. The gold layer has to produce, from real data, what the tool shows. The tool is finished; what is missing is the part that produces this content from real data.</w:t>
      </w:r>
    </w:p>
    <w:p>
      <w:pPr>
        <w:pStyle w:val="Heading1"/>
        <w:spacing w:after="120" w:before="300"/>
      </w:pPr>
      <w:r>
        <w:rPr>
          <w:rFonts w:ascii="Calibri" w:cs="Calibri" w:eastAsia="Calibri" w:hAnsi="Calibri"/>
          <w:b/>
          <w:bCs/>
          <w:sz w:val="30"/>
          <w:szCs w:val="30"/>
        </w:rPr>
        <w:t xml:space="preserve">The tool</w:t>
      </w:r>
    </w:p>
    <w:p>
      <w:pPr>
        <w:spacing w:after="120"/>
      </w:pPr>
      <w:r>
        <w:rPr>
          <w:rFonts w:ascii="Calibri" w:cs="Calibri" w:eastAsia="Calibri" w:hAnsi="Calibri"/>
          <w:b/>
          <w:bCs/>
        </w:rPr>
        <w:t xml:space="preserve">Task 1. </w:t>
      </w:r>
      <w:r>
        <w:rPr>
          <w:rFonts w:ascii="Calibri" w:cs="Calibri" w:eastAsia="Calibri" w:hAnsi="Calibri"/>
        </w:rPr>
        <w:t xml:space="preserve">The lead reads what the records show and rates the person alone.</w:t>
      </w:r>
    </w:p>
    <w:p>
      <w:pPr>
        <w:spacing w:after="160" w:before="80"/>
      </w:pPr>
      <w:r>
        <w:drawing>
          <wp:inline distT="0" distB="0" distL="0" distR="0">
            <wp:extent cx="5334000" cy="3333750"/>
            <wp:effectExtent t="0" r="0" b="0" l="0"/>
            <wp:docPr id="1" name="t1.png" descr="t1.png" title="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33750"/>
                    </a:xfrm>
                    <a:prstGeom prst="rect">
                      <a:avLst/>
                    </a:prstGeom>
                  </pic:spPr>
                </pic:pic>
              </a:graphicData>
            </a:graphic>
          </wp:inline>
        </w:drawing>
      </w:r>
    </w:p>
    <w:p>
      <w:pPr>
        <w:spacing w:after="120"/>
      </w:pPr>
      <w:r>
        <w:rPr>
          <w:rFonts w:ascii="Calibri" w:cs="Calibri" w:eastAsia="Calibri" w:hAnsi="Calibri"/>
          <w:b/>
          <w:bCs/>
        </w:rPr>
        <w:t xml:space="preserve">Task 2. </w:t>
      </w:r>
      <w:r>
        <w:rPr>
          <w:rFonts w:ascii="Calibri" w:cs="Calibri" w:eastAsia="Calibri" w:hAnsi="Calibri"/>
        </w:rPr>
        <w:t xml:space="preserve">The same records, plus the level proposed by the system with its confidence. The lead accepts, adjusts or keeps their own answer.</w:t>
      </w:r>
    </w:p>
    <w:p>
      <w:pPr>
        <w:spacing w:after="160" w:before="80"/>
      </w:pPr>
      <w:r>
        <w:drawing>
          <wp:inline distT="0" distB="0" distL="0" distR="0">
            <wp:extent cx="5334000" cy="3333750"/>
            <wp:effectExtent t="0" r="0" b="0" l="0"/>
            <wp:docPr id="2" name="t2.png" descr="t2.png" title="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pStyle w:val="Heading1"/>
        <w:spacing w:after="120" w:before="300"/>
      </w:pPr>
      <w:r>
        <w:rPr>
          <w:rFonts w:ascii="Calibri" w:cs="Calibri" w:eastAsia="Calibri" w:hAnsi="Calibri"/>
          <w:b/>
          <w:bCs/>
          <w:sz w:val="30"/>
          <w:szCs w:val="30"/>
        </w:rPr>
        <w:t xml:space="preserve">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rPr>
          <w:cantSplit/>
          <w:tblHeader/>
        </w:trPr>
        <w:tc>
          <w:tcPr>
            <w:tcW w:type="dxa" w:w="800"/>
            <w:tcBorders>
              <w:top w:val="single" w:color="BFC5B8" w:sz="4"/>
              <w:left w:val="single" w:color="BFC5B8" w:sz="4"/>
              <w:bottom w:val="single" w:color="BFC5B8" w:sz="4"/>
              <w:right w:val="single" w:color="BFC5B8" w:sz="4"/>
            </w:tcBorders>
            <w:shd w:fill="E8EDE3" w:color="auto" w:val="clear"/>
            <w:tcMar>
              <w:top w:type="dxa" w:w="70"/>
              <w:left w:type="dxa" w:w="110"/>
              <w:bottom w:type="dxa" w:w="70"/>
              <w:right w:type="dxa" w:w="110"/>
            </w:tcMar>
          </w:tcPr>
          <w:p>
            <w:r>
              <w:rPr>
                <w:rFonts w:ascii="Calibri" w:cs="Calibri" w:eastAsia="Calibri" w:hAnsi="Calibri"/>
                <w:b/>
                <w:bCs/>
                <w:sz w:val="21"/>
                <w:szCs w:val="21"/>
              </w:rPr>
              <w:t xml:space="preserve">No.</w:t>
            </w:r>
          </w:p>
        </w:tc>
        <w:tc>
          <w:tcPr>
            <w:tcW w:type="dxa" w:w="8226"/>
            <w:tcBorders>
              <w:top w:val="single" w:color="BFC5B8" w:sz="4"/>
              <w:left w:val="single" w:color="BFC5B8" w:sz="4"/>
              <w:bottom w:val="single" w:color="BFC5B8" w:sz="4"/>
              <w:right w:val="single" w:color="BFC5B8" w:sz="4"/>
            </w:tcBorders>
            <w:shd w:fill="E8EDE3" w:color="auto" w:val="clear"/>
            <w:tcMar>
              <w:top w:type="dxa" w:w="70"/>
              <w:left w:type="dxa" w:w="110"/>
              <w:bottom w:type="dxa" w:w="70"/>
              <w:right w:type="dxa" w:w="110"/>
            </w:tcMar>
          </w:tcPr>
          <w:p>
            <w:r>
              <w:rPr>
                <w:rFonts w:ascii="Calibri" w:cs="Calibri" w:eastAsia="Calibri" w:hAnsi="Calibri"/>
                <w:b/>
                <w:bCs/>
                <w:sz w:val="21"/>
                <w:szCs w:val="21"/>
              </w:rPr>
              <w:t xml:space="preserve">Requirement</w:t>
            </w:r>
          </w:p>
        </w:tc>
      </w:tr>
      <w:tr>
        <w:trPr>
          <w:cantSplit/>
          <w:tblHeader w:val="off"/>
        </w:trPr>
        <w:tc>
          <w:tcPr>
            <w:tcW w:type="dxa" w:w="8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1</w:t>
            </w:r>
          </w:p>
        </w:tc>
        <w:tc>
          <w:tcPr>
            <w:tcW w:type="dxa" w:w="8226"/>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bCs/>
              </w:rPr>
              <w:t xml:space="preserve">Show what the person can do (Task 1). </w:t>
            </w:r>
            <w:r>
              <w:rPr>
                <w:rFonts w:ascii="Calibri" w:cs="Calibri" w:eastAsia="Calibri" w:hAnsi="Calibri"/>
              </w:rPr>
              <w:t xml:space="preserve">For every person and competence, show from the data what the person did, with concrete examples (each with date and a working link), so that a team lead can judge it alone. The text must not reveal the level.</w:t>
            </w:r>
          </w:p>
        </w:tc>
      </w:tr>
      <w:tr>
        <w:trPr>
          <w:cantSplit/>
          <w:tblHeader w:val="off"/>
        </w:trPr>
        <w:tc>
          <w:tcPr>
            <w:tcW w:type="dxa" w:w="8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2</w:t>
            </w:r>
          </w:p>
        </w:tc>
        <w:tc>
          <w:tcPr>
            <w:tcW w:type="dxa" w:w="8226"/>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bCs/>
              </w:rPr>
              <w:t xml:space="preserve">Propose a level (Task 2). </w:t>
            </w:r>
            <w:r>
              <w:rPr>
                <w:rFonts w:ascii="Calibri" w:cs="Calibri" w:eastAsia="Calibri" w:hAnsi="Calibri"/>
              </w:rPr>
              <w:t xml:space="preserve">For every person and competence, a large language model (LLM) places the person on a level, based on the competences and levels defined below. The level is shown with a confidence and a reason that says why this level and not the next one up (autonomy, complexity, influence). The lead decides what to take over.</w:t>
            </w:r>
          </w:p>
        </w:tc>
      </w:tr>
      <w:tr>
        <w:trPr>
          <w:cantSplit/>
          <w:tblHeader w:val="off"/>
        </w:trPr>
        <w:tc>
          <w:tcPr>
            <w:tcW w:type="dxa" w:w="8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3</w:t>
            </w:r>
          </w:p>
        </w:tc>
        <w:tc>
          <w:tcPr>
            <w:tcW w:type="dxa" w:w="8226"/>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bCs/>
              </w:rPr>
              <w:t xml:space="preserve">Stay inside the definitions. </w:t>
            </w:r>
            <w:r>
              <w:rPr>
                <w:rFonts w:ascii="Calibri" w:cs="Calibri" w:eastAsia="Calibri" w:hAnsi="Calibri"/>
              </w:rPr>
              <w:t xml:space="preserve">Only the 12 competences and the levels below are used. If the records show nothing about a competence, the result is “not observable”, not a low level.</w:t>
            </w:r>
          </w:p>
        </w:tc>
      </w:tr>
      <w:tr>
        <w:trPr>
          <w:cantSplit/>
          <w:tblHeader w:val="off"/>
        </w:trPr>
        <w:tc>
          <w:tcPr>
            <w:tcW w:type="dxa" w:w="8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4</w:t>
            </w:r>
          </w:p>
        </w:tc>
        <w:tc>
          <w:tcPr>
            <w:tcW w:type="dxa" w:w="8226"/>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bCs/>
              </w:rPr>
              <w:t xml:space="preserve">Be traceable. </w:t>
            </w:r>
            <w:r>
              <w:rPr>
                <w:rFonts w:ascii="Calibri" w:cs="Calibri" w:eastAsia="Calibri" w:hAnsi="Calibri"/>
              </w:rPr>
              <w:t xml:space="preserve">Every number, example and reason shown must come from the data and be checkable. The final level and the confidence must be explainable and repeatable, not an unchecked answer of the model.</w:t>
            </w:r>
          </w:p>
        </w:tc>
      </w:tr>
      <w:tr>
        <w:trPr>
          <w:cantSplit/>
          <w:tblHeader w:val="off"/>
        </w:trPr>
        <w:tc>
          <w:tcPr>
            <w:tcW w:type="dxa" w:w="8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5</w:t>
            </w:r>
          </w:p>
        </w:tc>
        <w:tc>
          <w:tcPr>
            <w:tcW w:type="dxa" w:w="8226"/>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bCs/>
              </w:rPr>
              <w:t xml:space="preserve">Show that it works. </w:t>
            </w:r>
            <w:r>
              <w:rPr>
                <w:rFonts w:ascii="Calibri" w:cs="Calibri" w:eastAsia="Calibri" w:hAnsi="Calibri"/>
              </w:rPr>
              <w:t xml:space="preserve">Compare the LLM result with a reference set coded by the researcher, and report how well they agree before the result is used in the study.</w:t>
            </w:r>
          </w:p>
        </w:tc>
      </w:tr>
      <w:tr>
        <w:trPr>
          <w:cantSplit/>
          <w:tblHeader w:val="off"/>
        </w:trPr>
        <w:tc>
          <w:tcPr>
            <w:tcW w:type="dxa" w:w="8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6</w:t>
            </w:r>
          </w:p>
        </w:tc>
        <w:tc>
          <w:tcPr>
            <w:tcW w:type="dxa" w:w="8226"/>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bCs/>
              </w:rPr>
              <w:t xml:space="preserve">Model. </w:t>
            </w:r>
            <w:r>
              <w:rPr>
                <w:rFonts w:ascii="Calibri" w:cs="Calibri" w:eastAsia="Calibri" w:hAnsi="Calibri"/>
              </w:rPr>
              <w:t xml:space="preserve">The researcher provides Claude Sonnet 5.5 through the Anthropic API and enters her own API key. The key stays local and is never committed to the repository (it is public).</w:t>
            </w:r>
          </w:p>
        </w:tc>
      </w:tr>
      <w:tr>
        <w:trPr>
          <w:cantSplit/>
          <w:tblHeader w:val="off"/>
        </w:trPr>
        <w:tc>
          <w:tcPr>
            <w:tcW w:type="dxa" w:w="8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7</w:t>
            </w:r>
          </w:p>
        </w:tc>
        <w:tc>
          <w:tcPr>
            <w:tcW w:type="dxa" w:w="8226"/>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bCs/>
              </w:rPr>
              <w:t xml:space="preserve">Privacy. </w:t>
            </w:r>
            <w:r>
              <w:rPr>
                <w:rFonts w:ascii="Calibri" w:cs="Calibri" w:eastAsia="Calibri" w:hAnsi="Calibri"/>
              </w:rPr>
              <w:t xml:space="preserve">No names, e-mail addresses or handles reach the model or the output.</w:t>
            </w:r>
          </w:p>
        </w:tc>
      </w:tr>
      <w:tr>
        <w:trPr>
          <w:cantSplit/>
          <w:tblHeader w:val="off"/>
        </w:trPr>
        <w:tc>
          <w:tcPr>
            <w:tcW w:type="dxa" w:w="8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8</w:t>
            </w:r>
          </w:p>
        </w:tc>
        <w:tc>
          <w:tcPr>
            <w:tcW w:type="dxa" w:w="8226"/>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bCs/>
              </w:rPr>
              <w:t xml:space="preserve">Hand over to the tool. </w:t>
            </w:r>
            <w:r>
              <w:rPr>
                <w:rFonts w:ascii="Calibri" w:cs="Calibri" w:eastAsia="Calibri" w:hAnsi="Calibri"/>
              </w:rPr>
              <w:t xml:space="preserve">The result is delivered as one file per project in the format below. This is the only fixed technical interface.</w:t>
            </w:r>
          </w:p>
        </w:tc>
      </w:tr>
      <w:tr>
        <w:trPr>
          <w:cantSplit/>
          <w:tblHeader w:val="off"/>
        </w:trPr>
        <w:tc>
          <w:tcPr>
            <w:tcW w:type="dxa" w:w="8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9</w:t>
            </w:r>
          </w:p>
        </w:tc>
        <w:tc>
          <w:tcPr>
            <w:tcW w:type="dxa" w:w="8226"/>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bCs/>
              </w:rPr>
              <w:t xml:space="preserve">Suggest fitting roles (optional). </w:t>
            </w:r>
            <w:r>
              <w:rPr>
                <w:rFonts w:ascii="Calibri" w:cs="Calibri" w:eastAsia="Calibri" w:hAnsi="Calibri"/>
              </w:rPr>
              <w:t xml:space="preserve">From the competence results, show which occupations (ESCO occupation profiles, for example software developer or software tester) the records match best and which essential competences the records say nothing about. This is derived from the result, shows what the records demonstrate and not what the person is capable of, and is a further finding beyond the main task.</w:t>
            </w:r>
          </w:p>
        </w:tc>
      </w:tr>
      <w:tr>
        <w:trPr>
          <w:cantSplit/>
          <w:tblHeader w:val="off"/>
        </w:trPr>
        <w:tc>
          <w:tcPr>
            <w:tcW w:type="dxa" w:w="8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10</w:t>
            </w:r>
          </w:p>
        </w:tc>
        <w:tc>
          <w:tcPr>
            <w:tcW w:type="dxa" w:w="8226"/>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bCs/>
              </w:rPr>
              <w:t xml:space="preserve">Keep it separate from the study script. </w:t>
            </w:r>
            <w:r>
              <w:rPr>
                <w:rFonts w:ascii="Calibri" w:cs="Calibri" w:eastAsia="Calibri" w:hAnsi="Calibri"/>
              </w:rPr>
              <w:t xml:space="preserve">For the study, some proposals will later be changed on purpose. The real result must therefore be correct and stay separate from that step.</w:t>
            </w:r>
          </w:p>
        </w:tc>
      </w:tr>
    </w:tbl>
    <w:p>
      <w:pPr>
        <w:pStyle w:val="Heading1"/>
        <w:spacing w:after="120" w:before="300"/>
      </w:pPr>
      <w:r>
        <w:rPr>
          <w:rFonts w:ascii="Calibri" w:cs="Calibri" w:eastAsia="Calibri" w:hAnsi="Calibri"/>
          <w:b/>
          <w:bCs/>
          <w:sz w:val="30"/>
          <w:szCs w:val="30"/>
        </w:rPr>
        <w:t xml:space="preserve">Competences: where they come from</w:t>
      </w:r>
    </w:p>
    <w:p>
      <w:pPr>
        <w:spacing w:after="120"/>
      </w:pPr>
      <w:r>
        <w:rPr>
          <w:rFonts w:ascii="Calibri" w:cs="Calibri" w:eastAsia="Calibri" w:hAnsi="Calibri"/>
        </w:rPr>
        <w:t xml:space="preserve">Built in two directions. Top-down from ESCO (occupation software developer, ESCO v1.2.0). Bottom-up from about 120 evidence units that were coded openly, without a list, and only then compared with ESCO. What ESCO did not cover is marked local.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526"/>
      </w:tblGrid>
      <w:tr>
        <w:trPr>
          <w:cantSplit/>
          <w:tblHeader/>
        </w:trPr>
        <w:tc>
          <w:tcPr>
            <w:tcW w:type="dxa" w:w="500"/>
            <w:tcBorders>
              <w:top w:val="single" w:color="BFC5B8" w:sz="4"/>
              <w:left w:val="single" w:color="BFC5B8" w:sz="4"/>
              <w:bottom w:val="single" w:color="BFC5B8" w:sz="4"/>
              <w:right w:val="single" w:color="BFC5B8" w:sz="4"/>
            </w:tcBorders>
            <w:shd w:fill="E8EDE3" w:color="auto" w:val="clear"/>
            <w:tcMar>
              <w:top w:type="dxa" w:w="70"/>
              <w:left w:type="dxa" w:w="110"/>
              <w:bottom w:type="dxa" w:w="70"/>
              <w:right w:type="dxa" w:w="110"/>
            </w:tcMar>
          </w:tcPr>
          <w:p>
            <w:r>
              <w:rPr>
                <w:rFonts w:ascii="Calibri" w:cs="Calibri" w:eastAsia="Calibri" w:hAnsi="Calibri"/>
                <w:b/>
                <w:bCs/>
                <w:sz w:val="21"/>
                <w:szCs w:val="21"/>
              </w:rPr>
              <w:t xml:space="preserve">#</w:t>
            </w:r>
          </w:p>
        </w:tc>
        <w:tc>
          <w:tcPr>
            <w:tcW w:type="dxa" w:w="4000"/>
            <w:tcBorders>
              <w:top w:val="single" w:color="BFC5B8" w:sz="4"/>
              <w:left w:val="single" w:color="BFC5B8" w:sz="4"/>
              <w:bottom w:val="single" w:color="BFC5B8" w:sz="4"/>
              <w:right w:val="single" w:color="BFC5B8" w:sz="4"/>
            </w:tcBorders>
            <w:shd w:fill="E8EDE3" w:color="auto" w:val="clear"/>
            <w:tcMar>
              <w:top w:type="dxa" w:w="70"/>
              <w:left w:type="dxa" w:w="110"/>
              <w:bottom w:type="dxa" w:w="70"/>
              <w:right w:type="dxa" w:w="110"/>
            </w:tcMar>
          </w:tcPr>
          <w:p>
            <w:r>
              <w:rPr>
                <w:rFonts w:ascii="Calibri" w:cs="Calibri" w:eastAsia="Calibri" w:hAnsi="Calibri"/>
                <w:b/>
                <w:bCs/>
                <w:sz w:val="21"/>
                <w:szCs w:val="21"/>
              </w:rPr>
              <w:t xml:space="preserve">Competence</w:t>
            </w:r>
          </w:p>
        </w:tc>
        <w:tc>
          <w:tcPr>
            <w:tcW w:type="dxa" w:w="4526"/>
            <w:tcBorders>
              <w:top w:val="single" w:color="BFC5B8" w:sz="4"/>
              <w:left w:val="single" w:color="BFC5B8" w:sz="4"/>
              <w:bottom w:val="single" w:color="BFC5B8" w:sz="4"/>
              <w:right w:val="single" w:color="BFC5B8" w:sz="4"/>
            </w:tcBorders>
            <w:shd w:fill="E8EDE3" w:color="auto" w:val="clear"/>
            <w:tcMar>
              <w:top w:type="dxa" w:w="70"/>
              <w:left w:type="dxa" w:w="110"/>
              <w:bottom w:type="dxa" w:w="70"/>
              <w:right w:type="dxa" w:w="110"/>
            </w:tcMar>
          </w:tcPr>
          <w:p>
            <w:r>
              <w:rPr>
                <w:rFonts w:ascii="Calibri" w:cs="Calibri" w:eastAsia="Calibri" w:hAnsi="Calibri"/>
                <w:b/>
                <w:bCs/>
                <w:sz w:val="21"/>
                <w:szCs w:val="21"/>
              </w:rPr>
              <w:t xml:space="preserve">Source</w:t>
            </w:r>
          </w:p>
        </w:tc>
      </w:tr>
      <w:tr>
        <w:trPr>
          <w:cantSplit/>
          <w:tblHeader w:val="off"/>
        </w:trPr>
        <w:tc>
          <w:tcPr>
            <w:tcW w:type="dxa" w:w="5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1</w:t>
            </w:r>
          </w:p>
        </w:tc>
        <w:tc>
          <w:tcPr>
            <w:tcW w:type="dxa" w:w="40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develop automated software tests</w:t>
            </w:r>
          </w:p>
        </w:tc>
        <w:tc>
          <w:tcPr>
            <w:tcW w:type="dxa" w:w="4526"/>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local (e-CF B.3 Testing)</w:t>
            </w:r>
          </w:p>
        </w:tc>
      </w:tr>
      <w:tr>
        <w:trPr>
          <w:cantSplit/>
          <w:tblHeader w:val="off"/>
        </w:trPr>
        <w:tc>
          <w:tcPr>
            <w:tcW w:type="dxa" w:w="5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2</w:t>
            </w:r>
          </w:p>
        </w:tc>
        <w:tc>
          <w:tcPr>
            <w:tcW w:type="dxa" w:w="40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debug software</w:t>
            </w:r>
          </w:p>
        </w:tc>
        <w:tc>
          <w:tcPr>
            <w:tcW w:type="dxa" w:w="4526"/>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ESCO essential</w:t>
            </w:r>
          </w:p>
        </w:tc>
      </w:tr>
      <w:tr>
        <w:trPr>
          <w:cantSplit/>
          <w:tblHeader w:val="off"/>
        </w:trPr>
        <w:tc>
          <w:tcPr>
            <w:tcW w:type="dxa" w:w="5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3</w:t>
            </w:r>
          </w:p>
        </w:tc>
        <w:tc>
          <w:tcPr>
            <w:tcW w:type="dxa" w:w="40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review other people’s code</w:t>
            </w:r>
          </w:p>
        </w:tc>
        <w:tc>
          <w:tcPr>
            <w:tcW w:type="dxa" w:w="4526"/>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local</w:t>
            </w:r>
          </w:p>
        </w:tc>
      </w:tr>
      <w:tr>
        <w:trPr>
          <w:cantSplit/>
          <w:tblHeader w:val="off"/>
        </w:trPr>
        <w:tc>
          <w:tcPr>
            <w:tcW w:type="dxa" w:w="5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4</w:t>
            </w:r>
          </w:p>
        </w:tc>
        <w:tc>
          <w:tcPr>
            <w:tcW w:type="dxa" w:w="40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integrate system components</w:t>
            </w:r>
          </w:p>
        </w:tc>
        <w:tc>
          <w:tcPr>
            <w:tcW w:type="dxa" w:w="4526"/>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ESCO optional</w:t>
            </w:r>
          </w:p>
        </w:tc>
      </w:tr>
      <w:tr>
        <w:trPr>
          <w:cantSplit/>
          <w:tblHeader w:val="off"/>
        </w:trPr>
        <w:tc>
          <w:tcPr>
            <w:tcW w:type="dxa" w:w="5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5</w:t>
            </w:r>
          </w:p>
        </w:tc>
        <w:tc>
          <w:tcPr>
            <w:tcW w:type="dxa" w:w="40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security and permissions</w:t>
            </w:r>
          </w:p>
        </w:tc>
        <w:tc>
          <w:tcPr>
            <w:tcW w:type="dxa" w:w="4526"/>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local</w:t>
            </w:r>
          </w:p>
        </w:tc>
      </w:tr>
      <w:tr>
        <w:trPr>
          <w:cantSplit/>
          <w:tblHeader w:val="off"/>
        </w:trPr>
        <w:tc>
          <w:tcPr>
            <w:tcW w:type="dxa" w:w="5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6</w:t>
            </w:r>
          </w:p>
        </w:tc>
        <w:tc>
          <w:tcPr>
            <w:tcW w:type="dxa" w:w="40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build, dependencies and configuration</w:t>
            </w:r>
          </w:p>
        </w:tc>
        <w:tc>
          <w:tcPr>
            <w:tcW w:type="dxa" w:w="4526"/>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ESCO essential and optional</w:t>
            </w:r>
          </w:p>
        </w:tc>
      </w:tr>
      <w:tr>
        <w:trPr>
          <w:cantSplit/>
          <w:tblHeader w:val="off"/>
        </w:trPr>
        <w:tc>
          <w:tcPr>
            <w:tcW w:type="dxa" w:w="5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7</w:t>
            </w:r>
          </w:p>
        </w:tc>
        <w:tc>
          <w:tcPr>
            <w:tcW w:type="dxa" w:w="40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JavaScript (frontend code)</w:t>
            </w:r>
          </w:p>
        </w:tc>
        <w:tc>
          <w:tcPr>
            <w:tcW w:type="dxa" w:w="4526"/>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ESCO optional</w:t>
            </w:r>
          </w:p>
        </w:tc>
      </w:tr>
      <w:tr>
        <w:trPr>
          <w:cantSplit/>
          <w:tblHeader w:val="off"/>
        </w:trPr>
        <w:tc>
          <w:tcPr>
            <w:tcW w:type="dxa" w:w="5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8</w:t>
            </w:r>
          </w:p>
        </w:tc>
        <w:tc>
          <w:tcPr>
            <w:tcW w:type="dxa" w:w="40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design user interface</w:t>
            </w:r>
          </w:p>
        </w:tc>
        <w:tc>
          <w:tcPr>
            <w:tcW w:type="dxa" w:w="4526"/>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ESCO optional</w:t>
            </w:r>
          </w:p>
        </w:tc>
      </w:tr>
      <w:tr>
        <w:trPr>
          <w:cantSplit/>
          <w:tblHeader w:val="off"/>
        </w:trPr>
        <w:tc>
          <w:tcPr>
            <w:tcW w:type="dxa" w:w="5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9</w:t>
            </w:r>
          </w:p>
        </w:tc>
        <w:tc>
          <w:tcPr>
            <w:tcW w:type="dxa" w:w="40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internationalisation</w:t>
            </w:r>
          </w:p>
        </w:tc>
        <w:tc>
          <w:tcPr>
            <w:tcW w:type="dxa" w:w="4526"/>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local</w:t>
            </w:r>
          </w:p>
        </w:tc>
      </w:tr>
      <w:tr>
        <w:trPr>
          <w:cantSplit/>
          <w:tblHeader w:val="off"/>
        </w:trPr>
        <w:tc>
          <w:tcPr>
            <w:tcW w:type="dxa" w:w="5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10</w:t>
            </w:r>
          </w:p>
        </w:tc>
        <w:tc>
          <w:tcPr>
            <w:tcW w:type="dxa" w:w="40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data and persistence</w:t>
            </w:r>
          </w:p>
        </w:tc>
        <w:tc>
          <w:tcPr>
            <w:tcW w:type="dxa" w:w="4526"/>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ESCO optional</w:t>
            </w:r>
          </w:p>
        </w:tc>
      </w:tr>
      <w:tr>
        <w:trPr>
          <w:cantSplit/>
          <w:tblHeader w:val="off"/>
        </w:trPr>
        <w:tc>
          <w:tcPr>
            <w:tcW w:type="dxa" w:w="5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11</w:t>
            </w:r>
          </w:p>
        </w:tc>
        <w:tc>
          <w:tcPr>
            <w:tcW w:type="dxa" w:w="40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software design and refactoring</w:t>
            </w:r>
          </w:p>
        </w:tc>
        <w:tc>
          <w:tcPr>
            <w:tcW w:type="dxa" w:w="4526"/>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ESCO essential and optional</w:t>
            </w:r>
          </w:p>
        </w:tc>
      </w:tr>
      <w:tr>
        <w:trPr>
          <w:cantSplit/>
          <w:tblHeader w:val="off"/>
        </w:trPr>
        <w:tc>
          <w:tcPr>
            <w:tcW w:type="dxa" w:w="5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12</w:t>
            </w:r>
          </w:p>
        </w:tc>
        <w:tc>
          <w:tcPr>
            <w:tcW w:type="dxa" w:w="40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explain decisions in writing</w:t>
            </w:r>
          </w:p>
        </w:tc>
        <w:tc>
          <w:tcPr>
            <w:tcW w:type="dxa" w:w="4526"/>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ESCO essential</w:t>
            </w:r>
          </w:p>
        </w:tc>
      </w:tr>
    </w:tbl>
    <w:p>
      <w:pPr>
        <w:spacing w:after="120"/>
      </w:pPr>
      <w:r>
        <w:rPr>
          <w:rFonts w:ascii="Calibri" w:cs="Calibri" w:eastAsia="Calibri" w:hAnsi="Calibri"/>
        </w:rPr>
        <w:t xml:space="preserve"/>
      </w:r>
    </w:p>
    <w:p>
      <w:pPr>
        <w:pStyle w:val="Heading1"/>
        <w:spacing w:after="120" w:before="300"/>
      </w:pPr>
      <w:r>
        <w:rPr>
          <w:rFonts w:ascii="Calibri" w:cs="Calibri" w:eastAsia="Calibri" w:hAnsi="Calibri"/>
          <w:b/>
          <w:bCs/>
          <w:sz w:val="30"/>
          <w:szCs w:val="30"/>
        </w:rPr>
        <w:t xml:space="preserve">Levels: where they come from</w:t>
      </w:r>
    </w:p>
    <w:p>
      <w:pPr>
        <w:spacing w:after="120"/>
      </w:pPr>
      <w:r>
        <w:rPr>
          <w:rFonts w:ascii="Calibri" w:cs="Calibri" w:eastAsia="Calibri" w:hAnsi="Calibri"/>
        </w:rPr>
        <w:t xml:space="preserve">Five levels plus n/o (not observable), based on the European e-Competence Framework (EN 16234-1), which separates levels by autonomy, complexity and influence. The wording is our own, written for repository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526"/>
      </w:tblGrid>
      <w:tr>
        <w:trPr>
          <w:cantSplit/>
          <w:tblHeader/>
        </w:trPr>
        <w:tc>
          <w:tcPr>
            <w:tcW w:type="dxa" w:w="800"/>
            <w:tcBorders>
              <w:top w:val="single" w:color="BFC5B8" w:sz="4"/>
              <w:left w:val="single" w:color="BFC5B8" w:sz="4"/>
              <w:bottom w:val="single" w:color="BFC5B8" w:sz="4"/>
              <w:right w:val="single" w:color="BFC5B8" w:sz="4"/>
            </w:tcBorders>
            <w:shd w:fill="E8EDE3" w:color="auto" w:val="clear"/>
            <w:tcMar>
              <w:top w:type="dxa" w:w="70"/>
              <w:left w:type="dxa" w:w="110"/>
              <w:bottom w:type="dxa" w:w="70"/>
              <w:right w:type="dxa" w:w="110"/>
            </w:tcMar>
          </w:tcPr>
          <w:p>
            <w:r>
              <w:rPr>
                <w:rFonts w:ascii="Calibri" w:cs="Calibri" w:eastAsia="Calibri" w:hAnsi="Calibri"/>
                <w:b/>
                <w:bCs/>
                <w:sz w:val="21"/>
                <w:szCs w:val="21"/>
              </w:rPr>
              <w:t xml:space="preserve">Level</w:t>
            </w:r>
          </w:p>
        </w:tc>
        <w:tc>
          <w:tcPr>
            <w:tcW w:type="dxa" w:w="2700"/>
            <w:tcBorders>
              <w:top w:val="single" w:color="BFC5B8" w:sz="4"/>
              <w:left w:val="single" w:color="BFC5B8" w:sz="4"/>
              <w:bottom w:val="single" w:color="BFC5B8" w:sz="4"/>
              <w:right w:val="single" w:color="BFC5B8" w:sz="4"/>
            </w:tcBorders>
            <w:shd w:fill="E8EDE3" w:color="auto" w:val="clear"/>
            <w:tcMar>
              <w:top w:type="dxa" w:w="70"/>
              <w:left w:type="dxa" w:w="110"/>
              <w:bottom w:type="dxa" w:w="70"/>
              <w:right w:type="dxa" w:w="110"/>
            </w:tcMar>
          </w:tcPr>
          <w:p>
            <w:r>
              <w:rPr>
                <w:rFonts w:ascii="Calibri" w:cs="Calibri" w:eastAsia="Calibri" w:hAnsi="Calibri"/>
                <w:b/>
                <w:bCs/>
                <w:sz w:val="21"/>
                <w:szCs w:val="21"/>
              </w:rPr>
              <w:t xml:space="preserve">Name</w:t>
            </w:r>
          </w:p>
        </w:tc>
        <w:tc>
          <w:tcPr>
            <w:tcW w:type="dxa" w:w="5526"/>
            <w:tcBorders>
              <w:top w:val="single" w:color="BFC5B8" w:sz="4"/>
              <w:left w:val="single" w:color="BFC5B8" w:sz="4"/>
              <w:bottom w:val="single" w:color="BFC5B8" w:sz="4"/>
              <w:right w:val="single" w:color="BFC5B8" w:sz="4"/>
            </w:tcBorders>
            <w:shd w:fill="E8EDE3" w:color="auto" w:val="clear"/>
            <w:tcMar>
              <w:top w:type="dxa" w:w="70"/>
              <w:left w:type="dxa" w:w="110"/>
              <w:bottom w:type="dxa" w:w="70"/>
              <w:right w:type="dxa" w:w="110"/>
            </w:tcMar>
          </w:tcPr>
          <w:p>
            <w:r>
              <w:rPr>
                <w:rFonts w:ascii="Calibri" w:cs="Calibri" w:eastAsia="Calibri" w:hAnsi="Calibri"/>
                <w:b/>
                <w:bCs/>
                <w:sz w:val="21"/>
                <w:szCs w:val="21"/>
              </w:rPr>
              <w:t xml:space="preserve">Meaning</w:t>
            </w:r>
          </w:p>
        </w:tc>
      </w:tr>
      <w:tr>
        <w:trPr>
          <w:cantSplit/>
          <w:tblHeader w:val="off"/>
        </w:trPr>
        <w:tc>
          <w:tcPr>
            <w:tcW w:type="dxa" w:w="8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l1</w:t>
            </w:r>
          </w:p>
        </w:tc>
        <w:tc>
          <w:tcPr>
            <w:tcW w:type="dxa" w:w="27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Follows a given approach</w:t>
            </w:r>
          </w:p>
        </w:tc>
        <w:tc>
          <w:tcPr>
            <w:tcW w:type="dxa" w:w="5526"/>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Small, mechanical change; others set the approach</w:t>
            </w:r>
          </w:p>
        </w:tc>
      </w:tr>
      <w:tr>
        <w:trPr>
          <w:cantSplit/>
          <w:tblHeader w:val="off"/>
        </w:trPr>
        <w:tc>
          <w:tcPr>
            <w:tcW w:type="dxa" w:w="8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l2</w:t>
            </w:r>
          </w:p>
        </w:tc>
        <w:tc>
          <w:tcPr>
            <w:tcW w:type="dxa" w:w="27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Completes routine tasks alone</w:t>
            </w:r>
          </w:p>
        </w:tc>
        <w:tc>
          <w:tcPr>
            <w:tcW w:type="dxa" w:w="5526"/>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Own approach, routine task in a known pattern, no substantial rework</w:t>
            </w:r>
          </w:p>
        </w:tc>
      </w:tr>
      <w:tr>
        <w:trPr>
          <w:cantSplit/>
          <w:tblHeader w:val="off"/>
        </w:trPr>
        <w:tc>
          <w:tcPr>
            <w:tcW w:type="dxa" w:w="8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l3</w:t>
            </w:r>
          </w:p>
        </w:tc>
        <w:tc>
          <w:tcPr>
            <w:tcW w:type="dxa" w:w="27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Solves and explains the cause</w:t>
            </w:r>
          </w:p>
        </w:tc>
        <w:tc>
          <w:tcPr>
            <w:tcW w:type="dxa" w:w="5526"/>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Own approach, non-routine task; finds the cause or restructures, and explains why</w:t>
            </w:r>
          </w:p>
        </w:tc>
      </w:tr>
      <w:tr>
        <w:trPr>
          <w:cantSplit/>
          <w:tblHeader w:val="off"/>
        </w:trPr>
        <w:tc>
          <w:tcPr>
            <w:tcW w:type="dxa" w:w="8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l4</w:t>
            </w:r>
          </w:p>
        </w:tc>
        <w:tc>
          <w:tcPr>
            <w:tcW w:type="dxa" w:w="27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Others rely on it</w:t>
            </w:r>
          </w:p>
        </w:tc>
        <w:tc>
          <w:tcPr>
            <w:tcW w:type="dxa" w:w="5526"/>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Builds shared pieces others rely on</w:t>
            </w:r>
          </w:p>
        </w:tc>
      </w:tr>
      <w:tr>
        <w:trPr>
          <w:cantSplit/>
          <w:tblHeader w:val="off"/>
        </w:trPr>
        <w:tc>
          <w:tcPr>
            <w:tcW w:type="dxa" w:w="8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l5</w:t>
            </w:r>
          </w:p>
        </w:tc>
        <w:tc>
          <w:tcPr>
            <w:tcW w:type="dxa" w:w="27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Sets the approach for others</w:t>
            </w:r>
          </w:p>
        </w:tc>
        <w:tc>
          <w:tcPr>
            <w:tcW w:type="dxa" w:w="5526"/>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Others turn to the person; the approach the project follows</w:t>
            </w:r>
          </w:p>
        </w:tc>
      </w:tr>
      <w:tr>
        <w:trPr>
          <w:cantSplit/>
          <w:tblHeader w:val="off"/>
        </w:trPr>
        <w:tc>
          <w:tcPr>
            <w:tcW w:type="dxa" w:w="8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n/o</w:t>
            </w:r>
          </w:p>
        </w:tc>
        <w:tc>
          <w:tcPr>
            <w:tcW w:type="dxa" w:w="2700"/>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Not observable</w:t>
            </w:r>
          </w:p>
        </w:tc>
        <w:tc>
          <w:tcPr>
            <w:tcW w:type="dxa" w:w="5526"/>
            <w:tcBorders>
              <w:top w:val="single" w:color="BFC5B8" w:sz="4"/>
              <w:left w:val="single" w:color="BFC5B8" w:sz="4"/>
              <w:bottom w:val="single" w:color="BFC5B8" w:sz="4"/>
              <w:right w:val="single" w:color="BFC5B8" w:sz="4"/>
            </w:tcBorders>
            <w:tcMar>
              <w:top w:type="dxa" w:w="70"/>
              <w:left w:type="dxa" w:w="110"/>
              <w:bottom w:type="dxa" w:w="70"/>
              <w:right w:type="dxa" w:w="110"/>
            </w:tcMar>
          </w:tcPr>
          <w:p>
            <w:r>
              <w:rPr>
                <w:rFonts w:ascii="Calibri" w:cs="Calibri" w:eastAsia="Calibri" w:hAnsi="Calibri"/>
                <w:b w:val="false"/>
                <w:bCs w:val="false"/>
                <w:sz w:val="21"/>
                <w:szCs w:val="21"/>
              </w:rPr>
              <w:t xml:space="preserve">Records show nothing about it</w:t>
            </w:r>
          </w:p>
        </w:tc>
      </w:tr>
    </w:tbl>
    <w:p>
      <w:pPr>
        <w:spacing w:after="120"/>
      </w:pPr>
      <w:r>
        <w:rPr>
          <w:rFonts w:ascii="Calibri" w:cs="Calibri" w:eastAsia="Calibri" w:hAnsi="Calibri"/>
        </w:rPr>
        <w:t xml:space="preserve"/>
      </w:r>
    </w:p>
    <w:p>
      <w:pPr>
        <w:spacing w:after="120"/>
      </w:pPr>
      <w:r>
        <w:rPr>
          <w:rFonts w:ascii="Calibri" w:cs="Calibri" w:eastAsia="Calibri" w:hAnsi="Calibri"/>
          <w:b/>
          <w:bCs/>
        </w:rPr>
        <w:t xml:space="preserve">Levels describe behaviour, not the person. </w:t>
      </w:r>
      <w:r>
        <w:rPr>
          <w:rFonts w:ascii="Calibri" w:cs="Calibri" w:eastAsia="Calibri" w:hAnsi="Calibri"/>
        </w:rPr>
        <w:t xml:space="preserve">Each level answers the same three questions, taken from the e-CF: who sets the approach (autonomy), how complex the task is (complexity), and who relies on the result (influence). A level is evidence for one competence in the records, never a label such as beginner or expert.</w:t>
      </w:r>
    </w:p>
    <w:p>
      <w:pPr>
        <w:spacing w:after="120"/>
      </w:pPr>
      <w:r>
        <w:rPr>
          <w:rFonts w:ascii="Calibri" w:cs="Calibri" w:eastAsia="Calibri" w:hAnsi="Calibri"/>
        </w:rPr>
        <w:t xml:space="preserve">The e-CF itself defines levels only up to e-3 or e-4 for most build competences, so l4 and l5 go beyond it.</w:t>
      </w:r>
    </w:p>
    <w:p>
      <w:pPr>
        <w:spacing w:after="120"/>
      </w:pPr>
      <w:r>
        <w:rPr>
          <w:rFonts w:ascii="Calibri" w:cs="Calibri" w:eastAsia="Calibri" w:hAnsi="Calibri"/>
          <w:b/>
          <w:bCs/>
        </w:rPr>
        <w:t xml:space="preserve">The levels can be challenged. </w:t>
      </w:r>
      <w:r>
        <w:rPr>
          <w:rFonts w:ascii="Calibri" w:cs="Calibri" w:eastAsia="Calibri" w:hAnsi="Calibri"/>
        </w:rPr>
        <w:t xml:space="preserve">Other levels may be used, but only on the basis of literature or a framework (for example e-CF, SFIA, the Dreyfus model). A change needs the source, a mapping to the five levels, and a repeat of the agreement check (requirement 5) before it is adopted.</w:t>
      </w:r>
    </w:p>
    <w:p>
      <w:pPr>
        <w:pStyle w:val="Heading1"/>
        <w:spacing w:after="120" w:before="300"/>
      </w:pPr>
      <w:r>
        <w:rPr>
          <w:rFonts w:ascii="Calibri" w:cs="Calibri" w:eastAsia="Calibri" w:hAnsi="Calibri"/>
          <w:b/>
          <w:bCs/>
          <w:sz w:val="30"/>
          <w:szCs w:val="30"/>
        </w:rPr>
        <w:t xml:space="preserve">Hand-over file: assessments.json</w:t>
      </w:r>
    </w:p>
    <w:p>
      <w:pPr>
        <w:shd w:fill="F3F4F1" w:color="auto" w:val="clear"/>
        <w:spacing w:after="0"/>
      </w:pPr>
      <w:r>
        <w:rPr>
          <w:rFonts w:ascii="Consolas" w:cs="Consolas" w:eastAsia="Consolas" w:hAnsi="Consolas"/>
          <w:sz w:val="18"/>
          <w:szCs w:val="18"/>
        </w:rPr>
        <w:t xml:space="preserve">{</w:t>
      </w:r>
    </w:p>
    <w:p>
      <w:pPr>
        <w:shd w:fill="F3F4F1" w:color="auto" w:val="clear"/>
        <w:spacing w:after="0"/>
      </w:pPr>
      <w:r>
        <w:rPr>
          <w:rFonts w:ascii="Consolas" w:cs="Consolas" w:eastAsia="Consolas" w:hAnsi="Consolas"/>
          <w:sz w:val="18"/>
          <w:szCs w:val="18"/>
        </w:rPr>
        <w:t xml:space="preserve">  "taxonomy_version": "3.0",</w:t>
      </w:r>
    </w:p>
    <w:p>
      <w:pPr>
        <w:shd w:fill="F3F4F1" w:color="auto" w:val="clear"/>
        <w:spacing w:after="0"/>
      </w:pPr>
      <w:r>
        <w:rPr>
          <w:rFonts w:ascii="Consolas" w:cs="Consolas" w:eastAsia="Consolas" w:hAnsi="Consolas"/>
          <w:sz w:val="18"/>
          <w:szCs w:val="18"/>
        </w:rPr>
        <w:t xml:space="preserve">  "organization_id": "...",</w:t>
      </w:r>
    </w:p>
    <w:p>
      <w:pPr>
        <w:shd w:fill="F3F4F1" w:color="auto" w:val="clear"/>
        <w:spacing w:after="0"/>
      </w:pPr>
      <w:r>
        <w:rPr>
          <w:rFonts w:ascii="Consolas" w:cs="Consolas" w:eastAsia="Consolas" w:hAnsi="Consolas"/>
          <w:sz w:val="18"/>
          <w:szCs w:val="18"/>
        </w:rPr>
        <w:t xml:space="preserve">  "computed_at": "ISO timestamp",</w:t>
      </w:r>
    </w:p>
    <w:p>
      <w:pPr>
        <w:shd w:fill="F3F4F1" w:color="auto" w:val="clear"/>
        <w:spacing w:after="0"/>
      </w:pPr>
      <w:r>
        <w:rPr>
          <w:rFonts w:ascii="Consolas" w:cs="Consolas" w:eastAsia="Consolas" w:hAnsi="Consolas"/>
          <w:sz w:val="18"/>
          <w:szCs w:val="18"/>
        </w:rPr>
        <w:t xml:space="preserve">  "config_hash": "...",</w:t>
      </w:r>
    </w:p>
    <w:p>
      <w:pPr>
        <w:shd w:fill="F3F4F1" w:color="auto" w:val="clear"/>
        <w:spacing w:after="0"/>
      </w:pPr>
      <w:r>
        <w:rPr>
          <w:rFonts w:ascii="Consolas" w:cs="Consolas" w:eastAsia="Consolas" w:hAnsi="Consolas"/>
          <w:sz w:val="18"/>
          <w:szCs w:val="18"/>
        </w:rPr>
        <w:t xml:space="preserve">  "assessments": [</w:t>
      </w:r>
    </w:p>
    <w:p>
      <w:pPr>
        <w:shd w:fill="F3F4F1" w:color="auto" w:val="clear"/>
        <w:spacing w:after="0"/>
      </w:pPr>
      <w:r>
        <w:rPr>
          <w:rFonts w:ascii="Consolas" w:cs="Consolas" w:eastAsia="Consolas" w:hAnsi="Consolas"/>
          <w:sz w:val="18"/>
          <w:szCs w:val="18"/>
        </w:rPr>
        <w:t xml:space="preserve">    {</w:t>
      </w:r>
    </w:p>
    <w:p>
      <w:pPr>
        <w:shd w:fill="F3F4F1" w:color="auto" w:val="clear"/>
        <w:spacing w:after="0"/>
      </w:pPr>
      <w:r>
        <w:rPr>
          <w:rFonts w:ascii="Consolas" w:cs="Consolas" w:eastAsia="Consolas" w:hAnsi="Consolas"/>
          <w:sz w:val="18"/>
          <w:szCs w:val="18"/>
        </w:rPr>
        <w:t xml:space="preserve">      "id": "assess-DEV-04-dev_automated_tests",</w:t>
      </w:r>
    </w:p>
    <w:p>
      <w:pPr>
        <w:shd w:fill="F3F4F1" w:color="auto" w:val="clear"/>
        <w:spacing w:after="0"/>
      </w:pPr>
      <w:r>
        <w:rPr>
          <w:rFonts w:ascii="Consolas" w:cs="Consolas" w:eastAsia="Consolas" w:hAnsi="Consolas"/>
          <w:sz w:val="18"/>
          <w:szCs w:val="18"/>
        </w:rPr>
        <w:t xml:space="preserve">      "developer_id": "DEV-04",</w:t>
      </w:r>
    </w:p>
    <w:p>
      <w:pPr>
        <w:shd w:fill="F3F4F1" w:color="auto" w:val="clear"/>
        <w:spacing w:after="0"/>
      </w:pPr>
      <w:r>
        <w:rPr>
          <w:rFonts w:ascii="Consolas" w:cs="Consolas" w:eastAsia="Consolas" w:hAnsi="Consolas"/>
          <w:sz w:val="18"/>
          <w:szCs w:val="18"/>
        </w:rPr>
        <w:t xml:space="preserve">      "category_id": "dev_automated_tests",</w:t>
      </w:r>
    </w:p>
    <w:p>
      <w:pPr>
        <w:shd w:fill="F3F4F1" w:color="auto" w:val="clear"/>
        <w:spacing w:after="0"/>
      </w:pPr>
      <w:r>
        <w:rPr>
          <w:rFonts w:ascii="Consolas" w:cs="Consolas" w:eastAsia="Consolas" w:hAnsi="Consolas"/>
          <w:sz w:val="18"/>
          <w:szCs w:val="18"/>
        </w:rPr>
        <w:t xml:space="preserve">      "level": "l1 | l2 | l3 | l4 | l5 | not_observable",</w:t>
      </w:r>
    </w:p>
    <w:p>
      <w:pPr>
        <w:shd w:fill="F3F4F1" w:color="auto" w:val="clear"/>
        <w:spacing w:after="0"/>
      </w:pPr>
      <w:r>
        <w:rPr>
          <w:rFonts w:ascii="Consolas" w:cs="Consolas" w:eastAsia="Consolas" w:hAnsi="Consolas"/>
          <w:sz w:val="18"/>
          <w:szCs w:val="18"/>
        </w:rPr>
        <w:t xml:space="preserve">      "confidence": 0.81,</w:t>
      </w:r>
    </w:p>
    <w:p>
      <w:pPr>
        <w:shd w:fill="F3F4F1" w:color="auto" w:val="clear"/>
        <w:spacing w:after="0"/>
      </w:pPr>
      <w:r>
        <w:rPr>
          <w:rFonts w:ascii="Consolas" w:cs="Consolas" w:eastAsia="Consolas" w:hAnsi="Consolas"/>
          <w:sz w:val="18"/>
          <w:szCs w:val="18"/>
        </w:rPr>
        <w:t xml:space="preserve">      "rationale": "statement of what the records show (must not name the level)",</w:t>
      </w:r>
    </w:p>
    <w:p>
      <w:pPr>
        <w:shd w:fill="F3F4F1" w:color="auto" w:val="clear"/>
        <w:spacing w:after="0"/>
      </w:pPr>
      <w:r>
        <w:rPr>
          <w:rFonts w:ascii="Consolas" w:cs="Consolas" w:eastAsia="Consolas" w:hAnsi="Consolas"/>
          <w:sz w:val="18"/>
          <w:szCs w:val="18"/>
        </w:rPr>
        <w:t xml:space="preserve">      "level_reason": "why this level: who set the approach, how complex, who relies on it, and why not the next level up",</w:t>
      </w:r>
    </w:p>
    <w:p>
      <w:pPr>
        <w:shd w:fill="F3F4F1" w:color="auto" w:val="clear"/>
        <w:spacing w:after="0"/>
      </w:pPr>
      <w:r>
        <w:rPr>
          <w:rFonts w:ascii="Consolas" w:cs="Consolas" w:eastAsia="Consolas" w:hAnsi="Consolas"/>
          <w:sz w:val="18"/>
          <w:szCs w:val="18"/>
        </w:rPr>
        <w:t xml:space="preserve">      "evidence": [</w:t>
      </w:r>
    </w:p>
    <w:p>
      <w:pPr>
        <w:shd w:fill="F3F4F1" w:color="auto" w:val="clear"/>
        <w:spacing w:after="0"/>
      </w:pPr>
      <w:r>
        <w:rPr>
          <w:rFonts w:ascii="Consolas" w:cs="Consolas" w:eastAsia="Consolas" w:hAnsi="Consolas"/>
          <w:sz w:val="18"/>
          <w:szCs w:val="18"/>
        </w:rPr>
        <w:t xml:space="preserve">        { "kind": "commit | pull_request | review | issue",</w:t>
      </w:r>
    </w:p>
    <w:p>
      <w:pPr>
        <w:shd w:fill="F3F4F1" w:color="auto" w:val="clear"/>
        <w:spacing w:after="0"/>
      </w:pPr>
      <w:r>
        <w:rPr>
          <w:rFonts w:ascii="Consolas" w:cs="Consolas" w:eastAsia="Consolas" w:hAnsi="Consolas"/>
          <w:sz w:val="18"/>
          <w:szCs w:val="18"/>
        </w:rPr>
        <w:t xml:space="preserve">          "title": "...", "timestamp": "ISO", "url": "https://..." }</w:t>
      </w:r>
    </w:p>
    <w:p>
      <w:pPr>
        <w:shd w:fill="F3F4F1" w:color="auto" w:val="clear"/>
        <w:spacing w:after="0"/>
      </w:pPr>
      <w:r>
        <w:rPr>
          <w:rFonts w:ascii="Consolas" w:cs="Consolas" w:eastAsia="Consolas" w:hAnsi="Consolas"/>
          <w:sz w:val="18"/>
          <w:szCs w:val="18"/>
        </w:rPr>
        <w:t xml:space="preserve">      ],</w:t>
      </w:r>
    </w:p>
    <w:p>
      <w:pPr>
        <w:shd w:fill="F3F4F1" w:color="auto" w:val="clear"/>
        <w:spacing w:after="0"/>
      </w:pPr>
      <w:r>
        <w:rPr>
          <w:rFonts w:ascii="Consolas" w:cs="Consolas" w:eastAsia="Consolas" w:hAnsi="Consolas"/>
          <w:sz w:val="18"/>
          <w:szCs w:val="18"/>
        </w:rPr>
        <w:t xml:space="preserve">      "blind_spots": "what the records cannot show"</w:t>
      </w:r>
    </w:p>
    <w:p>
      <w:pPr>
        <w:shd w:fill="F3F4F1" w:color="auto" w:val="clear"/>
        <w:spacing w:after="0"/>
      </w:pPr>
      <w:r>
        <w:rPr>
          <w:rFonts w:ascii="Consolas" w:cs="Consolas" w:eastAsia="Consolas" w:hAnsi="Consolas"/>
          <w:sz w:val="18"/>
          <w:szCs w:val="18"/>
        </w:rPr>
        <w:t xml:space="preserve">    }</w:t>
      </w:r>
    </w:p>
    <w:p>
      <w:pPr>
        <w:shd w:fill="F3F4F1" w:color="auto" w:val="clear"/>
        <w:spacing w:after="0"/>
      </w:pPr>
      <w:r>
        <w:rPr>
          <w:rFonts w:ascii="Consolas" w:cs="Consolas" w:eastAsia="Consolas" w:hAnsi="Consolas"/>
          <w:sz w:val="18"/>
          <w:szCs w:val="18"/>
        </w:rPr>
        <w:t xml:space="preserve">  ]</w:t>
      </w:r>
    </w:p>
    <w:p>
      <w:pPr>
        <w:shd w:fill="F3F4F1" w:color="auto" w:val="clear"/>
        <w:spacing w:after="0"/>
      </w:pPr>
      <w:r>
        <w:rPr>
          <w:rFonts w:ascii="Consolas" w:cs="Consolas" w:eastAsia="Consolas" w:hAnsi="Consolas"/>
          <w:sz w:val="18"/>
          <w:szCs w:val="18"/>
        </w:rPr>
        <w:t xml:space="preserve">}</w:t>
      </w:r>
    </w:p>
    <w:p>
      <w:pPr>
        <w:spacing w:after="120"/>
      </w:pPr>
      <w:r>
        <w:rPr>
          <w:rFonts w:ascii="Calibri" w:cs="Calibri" w:eastAsia="Calibri" w:hAnsi="Calibri"/>
        </w:rPr>
        <w:t xml:space="preserve"/>
      </w:r>
    </w:p>
    <w:p>
      <w:pPr>
        <w:spacing w:after="120"/>
      </w:pPr>
      <w:r>
        <w:rPr>
          <w:rFonts w:ascii="Calibri" w:cs="Calibri" w:eastAsia="Calibri" w:hAnsi="Calibri"/>
        </w:rPr>
        <w:t xml:space="preserve">The tool reads this file and needs no other change. One entry per person and competence, no duplicates. The tool checks the file on load and stops on any error. The file for NiFi is called assessments.nifi.json.</w:t>
      </w:r>
    </w:p>
    <w:sectPr>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09273f6e3beabcfe16adba04497a28064402c8bd.png"/><Relationship Id="rId8" Type="http://schemas.openxmlformats.org/officeDocument/2006/relationships/image" Target="media/3663b1461f754a25a42e23856f346a35d8c6b1b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2026-10-31T10:02:04.358Z</dcterms:created>
  <dcterms:modified xsi:type="dcterms:W3CDTF">2026-10-31T10:02:04.359Z</dcterms:modified>
</cp:coreProperties>
</file>

<file path=docProps/custom.xml><?xml version="1.0" encoding="utf-8"?>
<Properties xmlns="http://schemas.openxmlformats.org/officeDocument/2006/custom-properties" xmlns:vt="http://schemas.openxmlformats.org/officeDocument/2006/docPropsVTypes"/>
</file>