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유아 관찰일지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유아명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관찰일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관찰 기록</w:t>
            </w:r>
          </w:p>
        </w:tc>
      </w:tr>
      <w:tr>
        <w:tc>
          <w:tcPr>
            <w:tcW w:type="dxa" w:w="4320"/>
            <w:vAlign w:val="center"/>
          </w:tcPr>
          <w:p>
            <w:r>
              <w:t>관찰</w:t>
            </w:r>
          </w:p>
        </w:tc>
        <w:tc>
          <w:tcPr>
            <w:tcW w:type="dxa" w:w="4320"/>
            <w:vAlign w:val="center"/>
          </w:tcPr>
          <w:p>
            <w:r>
              <w:t>3월2주차에 곤충박람회를 방문한 후, 아이들이 들판에서 놀이활동을 했습니다.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분석</w:t>
            </w:r>
          </w:p>
        </w:tc>
        <w:tc>
          <w:tcPr>
            <w:tcW w:type="dxa" w:w="4320"/>
            <w:vAlign w:val="center"/>
          </w:tcPr>
          <w:p>
            <w:r>
              <w:t>이민우어린이는 어울리지 못했습니다.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지원계획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특이사항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