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유아 관찰일지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유아명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관찰일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관찰 기록</w:t>
            </w:r>
          </w:p>
        </w:tc>
      </w:tr>
      <w:tr>
        <w:tc>
          <w:tcPr>
            <w:tcW w:type="dxa" w:w="4320"/>
            <w:vAlign w:val="center"/>
          </w:tcPr>
          <w:p>
            <w:r>
              <w:t>관찰</w:t>
            </w:r>
          </w:p>
        </w:tc>
        <w:tc>
          <w:tcPr>
            <w:tcW w:type="dxa" w:w="4320"/>
            <w:vAlign w:val="center"/>
          </w:tcPr>
          <w:p>
            <w:r>
              <w:t>이민우 어린이는 곤충박람회와 시흥계곡에서의 체험에 적합하지 않았습니다.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분석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지원계획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특이사항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