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Aptos Display" w:hAnsi="Aptos Display"/>
          <w:b/>
          <w:color w:val="17324D"/>
          <w:sz w:val="44"/>
        </w:rPr>
        <w:t>Offline 20-Environment Simulation-of-Simulation Guide</w:t>
      </w:r>
    </w:p>
    <w:p>
      <w:pPr>
        <w:jc w:val="center"/>
      </w:pPr>
      <w:r>
        <w:rPr>
          <w:rFonts w:ascii="Aptos" w:hAnsi="Aptos"/>
          <w:color w:val="5A6872"/>
          <w:sz w:val="21"/>
        </w:rPr>
        <w:t>How to run scenario experiments without changing the classroom database</w:t>
      </w:r>
    </w:p>
    <w:tbl>
      <w:tblPr>
        <w:tblW w:type="auto" w:w="0"/>
        <w:tblLook w:firstColumn="1" w:firstRow="1" w:lastColumn="0" w:lastRow="0" w:noHBand="0" w:noVBand="1" w:val="04A0"/>
      </w:tblPr>
      <w:tblGrid>
        <w:gridCol w:w="10454"/>
      </w:tblGrid>
      <w:tr>
        <w:tc>
          <w:tcPr>
            <w:tcW w:type="dxa" w:w="10454"/>
            <w:shd w:fill="EAF3F8"/>
            <w:tcBorders>
              <w:top w:val="single" w:sz="4" w:space="0" w:color="BCD0DD"/>
              <w:left w:val="single" w:sz="4" w:space="0" w:color="BCD0DD"/>
              <w:bottom w:val="single" w:sz="4" w:space="0" w:color="BCD0DD"/>
              <w:right w:val="single" w:sz="4" w:space="0" w:color="BCD0DD"/>
            </w:tcBorders>
          </w:tcPr>
          <w:p>
            <w:pPr>
              <w:spacing w:after="40"/>
            </w:pPr>
            <w:r>
              <w:rPr>
                <w:rFonts w:ascii="Aptos Display" w:hAnsi="Aptos Display"/>
                <w:b/>
                <w:color w:val="17324D"/>
                <w:sz w:val="20"/>
              </w:rPr>
              <w:t>Purpose</w:t>
            </w:r>
            <w:r>
              <w:br/>
            </w:r>
            <w:r>
              <w:rPr>
                <w:rFonts w:ascii="Aptos" w:hAnsi="Aptos"/>
                <w:color w:val="1F2933"/>
                <w:sz w:val="17"/>
              </w:rPr>
              <w:t>Use this file to explain the offline experiment runner, environment controls, Excel workbook output, calibration mode, and how to interpret strategy variety.</w:t>
            </w:r>
          </w:p>
        </w:tc>
      </w:tr>
    </w:tbl>
    <w:p/>
    <w:p>
      <w:r>
        <w:br w:type="page"/>
      </w:r>
    </w:p>
    <w:p>
      <w:pPr>
        <w:pStyle w:val="Heading1"/>
        <w:spacing w:before="160" w:after="60"/>
      </w:pPr>
      <w:r>
        <w:rPr>
          <w:rFonts w:ascii="Aptos Display" w:hAnsi="Aptos Display"/>
          <w:color w:val="17324D"/>
        </w:rPr>
        <w:t>1. Purpose</w:t>
      </w:r>
    </w:p>
    <w:p>
      <w:pPr>
        <w:spacing w:after="80" w:line="254" w:lineRule="auto"/>
      </w:pPr>
      <w:r>
        <w:rPr>
          <w:rFonts w:ascii="Aptos" w:hAnsi="Aptos"/>
          <w:color w:val="1F2933"/>
          <w:sz w:val="18"/>
        </w:rPr>
        <w:t>The offline runner is not the classroom app. It is a separate experiment script that simulates the simulator many times. It creates synthetic teams, applies named environments, runs rounds, and exports Excel and CSV outputs. It does not read or write the classroom SQLite database.</w:t>
      </w:r>
    </w:p>
    <w:tbl>
      <w:tblPr>
        <w:tblStyle w:val="TableGrid"/>
        <w:tblW w:type="auto" w:w="0"/>
        <w:tblLook w:firstColumn="1" w:firstRow="1" w:lastColumn="0" w:lastRow="0" w:noHBand="0" w:noVBand="1" w:val="04A0"/>
      </w:tblPr>
      <w:tblGrid>
        <w:gridCol w:w="5227"/>
        <w:gridCol w:w="5227"/>
      </w:tblGrid>
      <w:tr>
        <w:tc>
          <w:tcPr>
            <w:tcW w:type="dxa" w:w="5184"/>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Live Classroom Simulator</w:t>
            </w:r>
          </w:p>
        </w:tc>
        <w:tc>
          <w:tcPr>
            <w:tcW w:type="dxa" w:w="5184"/>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Offline Simulation Runner</w:t>
            </w:r>
          </w:p>
        </w:tc>
      </w:tr>
      <w:tr>
        <w:tc>
          <w:tcPr>
            <w:tcW w:type="dxa" w:w="518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Students log in and submit real class decisions.</w:t>
            </w:r>
          </w:p>
        </w:tc>
        <w:tc>
          <w:tcPr>
            <w:tcW w:type="dxa" w:w="518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Script creates synthetic strategy teams.</w:t>
            </w:r>
          </w:p>
        </w:tc>
      </w:tr>
      <w:tr>
        <w:tc>
          <w:tcPr>
            <w:tcW w:type="dxa" w:w="518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Uses SQLite classroom database.</w:t>
            </w:r>
          </w:p>
        </w:tc>
        <w:tc>
          <w:tcPr>
            <w:tcW w:type="dxa" w:w="518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Runs in memory and writes files to simulation_outputs.</w:t>
            </w:r>
          </w:p>
        </w:tc>
      </w:tr>
      <w:tr>
        <w:tc>
          <w:tcPr>
            <w:tcW w:type="dxa" w:w="518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One instructor-controlled round at a time.</w:t>
            </w:r>
          </w:p>
        </w:tc>
        <w:tc>
          <w:tcPr>
            <w:tcW w:type="dxa" w:w="518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20 environments x 6 teams x 12 rounds by default.</w:t>
            </w:r>
          </w:p>
        </w:tc>
      </w:tr>
      <w:tr>
        <w:tc>
          <w:tcPr>
            <w:tcW w:type="dxa" w:w="518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Used for teaching gameplay.</w:t>
            </w:r>
          </w:p>
        </w:tc>
        <w:tc>
          <w:tcPr>
            <w:tcW w:type="dxa" w:w="518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Used for calibration, scenario analysis, and research evidence.</w:t>
            </w:r>
          </w:p>
        </w:tc>
      </w:tr>
    </w:tbl>
    <w:p/>
    <w:p>
      <w:pPr>
        <w:pStyle w:val="Heading1"/>
        <w:spacing w:before="160" w:after="60"/>
      </w:pPr>
      <w:r>
        <w:rPr>
          <w:rFonts w:ascii="Aptos Display" w:hAnsi="Aptos Display"/>
          <w:color w:val="17324D"/>
        </w:rPr>
        <w:t>2. Run Command</w:t>
      </w:r>
    </w:p>
    <w:tbl>
      <w:tblPr>
        <w:tblW w:type="auto" w:w="0"/>
        <w:tblLook w:firstColumn="1" w:firstRow="1" w:lastColumn="0" w:lastRow="0" w:noHBand="0" w:noVBand="1" w:val="04A0"/>
      </w:tblPr>
      <w:tblGrid>
        <w:gridCol w:w="10454"/>
      </w:tblGrid>
      <w:tr>
        <w:tc>
          <w:tcPr>
            <w:tcW w:type="dxa" w:w="10454"/>
            <w:shd w:fill="F2F4F7"/>
            <w:tcBorders>
              <w:top w:val="single" w:sz="4" w:space="0" w:color="CED6DE"/>
              <w:left w:val="single" w:sz="4" w:space="0" w:color="CED6DE"/>
              <w:bottom w:val="single" w:sz="4" w:space="0" w:color="CED6DE"/>
              <w:right w:val="single" w:sz="4" w:space="0" w:color="CED6DE"/>
            </w:tcBorders>
          </w:tcPr>
          <w:p>
            <w:pPr>
              <w:spacing w:after="0"/>
            </w:pPr>
            <w:r>
              <w:rPr>
                <w:rFonts w:ascii="Consolas" w:hAnsi="Consolas"/>
                <w:color w:val="1C2733"/>
                <w:sz w:val="16"/>
              </w:rPr>
              <w:t>python scripts/run_20_environment_simulations.py --teams 6 --rounds 12 --calibrated</w:t>
            </w:r>
          </w:p>
        </w:tc>
      </w:tr>
    </w:tbl>
    <w:p/>
    <w:p>
      <w:pPr>
        <w:spacing w:after="80" w:line="254" w:lineRule="auto"/>
      </w:pPr>
      <w:r>
        <w:rPr>
          <w:rFonts w:ascii="Aptos" w:hAnsi="Aptos"/>
          <w:color w:val="1F2933"/>
          <w:sz w:val="18"/>
        </w:rPr>
        <w:t>Use --calibrated when you want more strategy variety. Baseline mode shows what the model naturally rewards; calibrated mode strengthens environment-specific rewards so more strategies can win in suitable worlds.</w:t>
      </w:r>
    </w:p>
    <w:p>
      <w:pPr>
        <w:pStyle w:val="Heading1"/>
        <w:spacing w:before="160" w:after="60"/>
      </w:pPr>
      <w:r>
        <w:rPr>
          <w:rFonts w:ascii="Aptos Display" w:hAnsi="Aptos Display"/>
          <w:color w:val="17324D"/>
        </w:rPr>
        <w:t>3. Strategy Teams</w:t>
      </w:r>
    </w:p>
    <w:tbl>
      <w:tblPr>
        <w:tblStyle w:val="TableGrid"/>
        <w:tblW w:type="auto" w:w="0"/>
        <w:tblLook w:firstColumn="1" w:firstRow="1" w:lastColumn="0" w:lastRow="0" w:noHBand="0" w:noVBand="1" w:val="04A0"/>
      </w:tblPr>
      <w:tblGrid>
        <w:gridCol w:w="3485"/>
        <w:gridCol w:w="3485"/>
        <w:gridCol w:w="3485"/>
      </w:tblGrid>
      <w:tr>
        <w:tc>
          <w:tcPr>
            <w:tcW w:type="dxa" w:w="2520"/>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Strategy</w:t>
            </w:r>
          </w:p>
        </w:tc>
        <w:tc>
          <w:tcPr>
            <w:tcW w:type="dxa" w:w="4320"/>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Business Logic</w:t>
            </w:r>
          </w:p>
        </w:tc>
        <w:tc>
          <w:tcPr>
            <w:tcW w:type="dxa" w:w="3672"/>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Best When</w:t>
            </w:r>
          </w:p>
        </w:tc>
      </w:tr>
      <w:tr>
        <w:tc>
          <w:tcPr>
            <w:tcW w:type="dxa" w:w="252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Cash conservative</w:t>
            </w:r>
          </w:p>
        </w:tc>
        <w:tc>
          <w:tcPr>
            <w:tcW w:type="dxa" w:w="432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Low risk, protects cash, avoids debt and overexpansion.</w:t>
            </w:r>
          </w:p>
        </w:tc>
        <w:tc>
          <w:tcPr>
            <w:tcW w:type="dxa" w:w="367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Supply shock, cash crunch, inventory risk, recession.</w:t>
            </w:r>
          </w:p>
        </w:tc>
      </w:tr>
      <w:tr>
        <w:tc>
          <w:tcPr>
            <w:tcW w:type="dxa" w:w="252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Balanced S&amp;OP</w:t>
            </w:r>
          </w:p>
        </w:tc>
        <w:tc>
          <w:tcPr>
            <w:tcW w:type="dxa" w:w="432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Aligns forecast, production, sourcing, inventory, and finance.</w:t>
            </w:r>
          </w:p>
        </w:tc>
        <w:tc>
          <w:tcPr>
            <w:tcW w:type="dxa" w:w="367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Forecast volatility, stable markets, balanced-score grading.</w:t>
            </w:r>
          </w:p>
        </w:tc>
      </w:tr>
      <w:tr>
        <w:tc>
          <w:tcPr>
            <w:tcW w:type="dxa" w:w="252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Premium quality</w:t>
            </w:r>
          </w:p>
        </w:tc>
        <w:tc>
          <w:tcPr>
            <w:tcW w:type="dxa" w:w="432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Higher price, stronger QC, premium segment focus.</w:t>
            </w:r>
          </w:p>
        </w:tc>
        <w:tc>
          <w:tcPr>
            <w:tcW w:type="dxa" w:w="367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Picky customers, warranty sensitivity, premium market.</w:t>
            </w:r>
          </w:p>
        </w:tc>
      </w:tr>
      <w:tr>
        <w:tc>
          <w:tcPr>
            <w:tcW w:type="dxa" w:w="252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Innovation leap</w:t>
            </w:r>
          </w:p>
        </w:tc>
        <w:tc>
          <w:tcPr>
            <w:tcW w:type="dxa" w:w="432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Invests in NPD and newer tech generations.</w:t>
            </w:r>
          </w:p>
        </w:tc>
        <w:tc>
          <w:tcPr>
            <w:tcW w:type="dxa" w:w="367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Tech shift, premium expansion, fast lifecycle.</w:t>
            </w:r>
          </w:p>
        </w:tc>
      </w:tr>
      <w:tr>
        <w:tc>
          <w:tcPr>
            <w:tcW w:type="dxa" w:w="252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Aggressive growth</w:t>
            </w:r>
          </w:p>
        </w:tc>
        <w:tc>
          <w:tcPr>
            <w:tcW w:type="dxa" w:w="4320"/>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Capacity expansion, high production, demand capture.</w:t>
            </w:r>
          </w:p>
        </w:tc>
        <w:tc>
          <w:tcPr>
            <w:tcW w:type="dxa" w:w="367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Demand boom, viral demand, capacity-rewarded scenarios.</w:t>
            </w:r>
          </w:p>
        </w:tc>
      </w:tr>
      <w:tr>
        <w:tc>
          <w:tcPr>
            <w:tcW w:type="dxa" w:w="252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Low-cost volume</w:t>
            </w:r>
          </w:p>
        </w:tc>
        <w:tc>
          <w:tcPr>
            <w:tcW w:type="dxa" w:w="4320"/>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Lower price and beginner/value positioning.</w:t>
            </w:r>
          </w:p>
        </w:tc>
        <w:tc>
          <w:tcPr>
            <w:tcW w:type="dxa" w:w="367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Price sensitive, beginner boom, price war.</w:t>
            </w:r>
          </w:p>
        </w:tc>
      </w:tr>
    </w:tbl>
    <w:p/>
    <w:p>
      <w:pPr>
        <w:pStyle w:val="Heading1"/>
        <w:spacing w:before="160" w:after="60"/>
      </w:pPr>
      <w:r>
        <w:rPr>
          <w:rFonts w:ascii="Aptos Display" w:hAnsi="Aptos Display"/>
          <w:color w:val="17324D"/>
        </w:rPr>
        <w:t>4. The 20 Environments</w:t>
      </w:r>
    </w:p>
    <w:tbl>
      <w:tblPr>
        <w:tblStyle w:val="TableGrid"/>
        <w:tblW w:type="auto" w:w="0"/>
        <w:tblLook w:firstColumn="1" w:firstRow="1" w:lastColumn="0" w:lastRow="0" w:noHBand="0" w:noVBand="1" w:val="04A0"/>
      </w:tblPr>
      <w:tblGrid>
        <w:gridCol w:w="5227"/>
        <w:gridCol w:w="5227"/>
      </w:tblGrid>
      <w:tr>
        <w:tc>
          <w:tcPr>
            <w:tcW w:type="dxa" w:w="3168"/>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Sheet</w:t>
            </w:r>
          </w:p>
        </w:tc>
        <w:tc>
          <w:tcPr>
            <w:tcW w:type="dxa" w:w="7344"/>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Environment Meaning</w:t>
            </w:r>
          </w:p>
        </w:tc>
      </w:tr>
      <w:tr>
        <w:tc>
          <w:tcPr>
            <w:tcW w:type="dxa" w:w="3168"/>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01_Baseline</w:t>
            </w:r>
          </w:p>
        </w:tc>
        <w:tc>
          <w:tcPr>
            <w:tcW w:type="dxa" w:w="734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Neutral benchmark market.</w:t>
            </w:r>
          </w:p>
        </w:tc>
      </w:tr>
      <w:tr>
        <w:tc>
          <w:tcPr>
            <w:tcW w:type="dxa" w:w="3168"/>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02_Picky_Customers</w:t>
            </w:r>
          </w:p>
        </w:tc>
        <w:tc>
          <w:tcPr>
            <w:tcW w:type="dxa" w:w="734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Quality and service matter more.</w:t>
            </w:r>
          </w:p>
        </w:tc>
      </w:tr>
      <w:tr>
        <w:tc>
          <w:tcPr>
            <w:tcW w:type="dxa" w:w="3168"/>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03_Price_Sensitive</w:t>
            </w:r>
          </w:p>
        </w:tc>
        <w:tc>
          <w:tcPr>
            <w:tcW w:type="dxa" w:w="734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Customers react strongly to lower prices.</w:t>
            </w:r>
          </w:p>
        </w:tc>
      </w:tr>
      <w:tr>
        <w:tc>
          <w:tcPr>
            <w:tcW w:type="dxa" w:w="3168"/>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04_Tech_Shift</w:t>
            </w:r>
          </w:p>
        </w:tc>
        <w:tc>
          <w:tcPr>
            <w:tcW w:type="dxa" w:w="734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Market generation moves forward.</w:t>
            </w:r>
          </w:p>
        </w:tc>
      </w:tr>
      <w:tr>
        <w:tc>
          <w:tcPr>
            <w:tcW w:type="dxa" w:w="3168"/>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05_Beginner_Boom</w:t>
            </w:r>
          </w:p>
        </w:tc>
        <w:tc>
          <w:tcPr>
            <w:tcW w:type="dxa" w:w="734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Beginner segment expands quickly.</w:t>
            </w:r>
          </w:p>
        </w:tc>
      </w:tr>
      <w:tr>
        <w:tc>
          <w:tcPr>
            <w:tcW w:type="dxa" w:w="3168"/>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06_Premium_Market</w:t>
            </w:r>
          </w:p>
        </w:tc>
        <w:tc>
          <w:tcPr>
            <w:tcW w:type="dxa" w:w="734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Premium demand share increases.</w:t>
            </w:r>
          </w:p>
        </w:tc>
      </w:tr>
      <w:tr>
        <w:tc>
          <w:tcPr>
            <w:tcW w:type="dxa" w:w="3168"/>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07_Demand_Recession</w:t>
            </w:r>
          </w:p>
        </w:tc>
        <w:tc>
          <w:tcPr>
            <w:tcW w:type="dxa" w:w="734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Demand contracts and cash discipline matters.</w:t>
            </w:r>
          </w:p>
        </w:tc>
      </w:tr>
      <w:tr>
        <w:tc>
          <w:tcPr>
            <w:tcW w:type="dxa" w:w="3168"/>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08_Demand_Boom</w:t>
            </w:r>
          </w:p>
        </w:tc>
        <w:tc>
          <w:tcPr>
            <w:tcW w:type="dxa" w:w="734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Demand grows and capacity/service matter.</w:t>
            </w:r>
          </w:p>
        </w:tc>
      </w:tr>
      <w:tr>
        <w:tc>
          <w:tcPr>
            <w:tcW w:type="dxa" w:w="3168"/>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09_Supply_Shock</w:t>
            </w:r>
          </w:p>
        </w:tc>
        <w:tc>
          <w:tcPr>
            <w:tcW w:type="dxa" w:w="734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Supply risk and material pressure rise.</w:t>
            </w:r>
          </w:p>
        </w:tc>
      </w:tr>
      <w:tr>
        <w:tc>
          <w:tcPr>
            <w:tcW w:type="dxa" w:w="3168"/>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10_Cost_Inflation</w:t>
            </w:r>
          </w:p>
        </w:tc>
        <w:tc>
          <w:tcPr>
            <w:tcW w:type="dxa" w:w="734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Input costs increase and margins tighten.</w:t>
            </w:r>
          </w:p>
        </w:tc>
      </w:tr>
      <w:tr>
        <w:tc>
          <w:tcPr>
            <w:tcW w:type="dxa" w:w="3168"/>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11_Fast_Lifecycle</w:t>
            </w:r>
          </w:p>
        </w:tc>
        <w:tc>
          <w:tcPr>
            <w:tcW w:type="dxa" w:w="734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Products age faster and refresh pressure rises.</w:t>
            </w:r>
          </w:p>
        </w:tc>
      </w:tr>
      <w:tr>
        <w:tc>
          <w:tcPr>
            <w:tcW w:type="dxa" w:w="3168"/>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12_Warranty_Sensitive</w:t>
            </w:r>
          </w:p>
        </w:tc>
        <w:tc>
          <w:tcPr>
            <w:tcW w:type="dxa" w:w="734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Defects and warranty costs matter more.</w:t>
            </w:r>
          </w:p>
        </w:tc>
      </w:tr>
      <w:tr>
        <w:tc>
          <w:tcPr>
            <w:tcW w:type="dxa" w:w="3168"/>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13_Price_War</w:t>
            </w:r>
          </w:p>
        </w:tc>
        <w:tc>
          <w:tcPr>
            <w:tcW w:type="dxa" w:w="734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Price competition intensifies.</w:t>
            </w:r>
          </w:p>
        </w:tc>
      </w:tr>
      <w:tr>
        <w:tc>
          <w:tcPr>
            <w:tcW w:type="dxa" w:w="3168"/>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14_Inventory_Risk</w:t>
            </w:r>
          </w:p>
        </w:tc>
        <w:tc>
          <w:tcPr>
            <w:tcW w:type="dxa" w:w="734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Holding cost and overstock risk rise.</w:t>
            </w:r>
          </w:p>
        </w:tc>
      </w:tr>
      <w:tr>
        <w:tc>
          <w:tcPr>
            <w:tcW w:type="dxa" w:w="3168"/>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15_Capacity_Constraint</w:t>
            </w:r>
          </w:p>
        </w:tc>
        <w:tc>
          <w:tcPr>
            <w:tcW w:type="dxa" w:w="734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Capacity is tight.</w:t>
            </w:r>
          </w:p>
        </w:tc>
      </w:tr>
      <w:tr>
        <w:tc>
          <w:tcPr>
            <w:tcW w:type="dxa" w:w="3168"/>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16_Forecast_Volatility</w:t>
            </w:r>
          </w:p>
        </w:tc>
        <w:tc>
          <w:tcPr>
            <w:tcW w:type="dxa" w:w="734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Demand is harder to forecast.</w:t>
            </w:r>
          </w:p>
        </w:tc>
      </w:tr>
      <w:tr>
        <w:tc>
          <w:tcPr>
            <w:tcW w:type="dxa" w:w="3168"/>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17_Viral_Demand</w:t>
            </w:r>
          </w:p>
        </w:tc>
        <w:tc>
          <w:tcPr>
            <w:tcW w:type="dxa" w:w="734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Demand spikes strongly.</w:t>
            </w:r>
          </w:p>
        </w:tc>
      </w:tr>
      <w:tr>
        <w:tc>
          <w:tcPr>
            <w:tcW w:type="dxa" w:w="3168"/>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18_Cash_Crunch</w:t>
            </w:r>
          </w:p>
        </w:tc>
        <w:tc>
          <w:tcPr>
            <w:tcW w:type="dxa" w:w="734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Interest and liquidity stress are harsher.</w:t>
            </w:r>
          </w:p>
        </w:tc>
      </w:tr>
      <w:tr>
        <w:tc>
          <w:tcPr>
            <w:tcW w:type="dxa" w:w="3168"/>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19_Premium_Expansion</w:t>
            </w:r>
          </w:p>
        </w:tc>
        <w:tc>
          <w:tcPr>
            <w:tcW w:type="dxa" w:w="734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Premium demand and tech adoption expand together.</w:t>
            </w:r>
          </w:p>
        </w:tc>
      </w:tr>
      <w:tr>
        <w:tc>
          <w:tcPr>
            <w:tcW w:type="dxa" w:w="3168"/>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20_Unstable_Market</w:t>
            </w:r>
          </w:p>
        </w:tc>
        <w:tc>
          <w:tcPr>
            <w:tcW w:type="dxa" w:w="734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Multiple shocks happen together.</w:t>
            </w:r>
          </w:p>
        </w:tc>
      </w:tr>
    </w:tbl>
    <w:p/>
    <w:p>
      <w:pPr>
        <w:pStyle w:val="Heading1"/>
        <w:spacing w:before="160" w:after="60"/>
      </w:pPr>
      <w:r>
        <w:rPr>
          <w:rFonts w:ascii="Aptos Display" w:hAnsi="Aptos Display"/>
          <w:color w:val="17324D"/>
        </w:rPr>
        <w:t>5. Environment Control Variables</w:t>
      </w:r>
    </w:p>
    <w:tbl>
      <w:tblPr>
        <w:tblStyle w:val="TableGrid"/>
        <w:tblW w:type="auto" w:w="0"/>
        <w:tblLook w:firstColumn="1" w:firstRow="1" w:lastColumn="0" w:lastRow="0" w:noHBand="0" w:noVBand="1" w:val="04A0"/>
      </w:tblPr>
      <w:tblGrid>
        <w:gridCol w:w="3485"/>
        <w:gridCol w:w="3485"/>
        <w:gridCol w:w="3485"/>
      </w:tblGrid>
      <w:tr>
        <w:tc>
          <w:tcPr>
            <w:tcW w:type="dxa" w:w="3096"/>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Variable</w:t>
            </w:r>
          </w:p>
        </w:tc>
        <w:tc>
          <w:tcPr>
            <w:tcW w:type="dxa" w:w="3672"/>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Meaning</w:t>
            </w:r>
          </w:p>
        </w:tc>
        <w:tc>
          <w:tcPr>
            <w:tcW w:type="dxa" w:w="3744"/>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Effect</w:t>
            </w:r>
          </w:p>
        </w:tc>
      </w:tr>
      <w:tr>
        <w:tc>
          <w:tcPr>
            <w:tcW w:type="dxa" w:w="3096"/>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demand_multiplier</w:t>
            </w:r>
          </w:p>
        </w:tc>
        <w:tc>
          <w:tcPr>
            <w:tcW w:type="dxa" w:w="367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Scales total demand.</w:t>
            </w:r>
          </w:p>
        </w:tc>
        <w:tc>
          <w:tcPr>
            <w:tcW w:type="dxa" w:w="374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Higher demand rewards capacity/service if margins hold.</w:t>
            </w:r>
          </w:p>
        </w:tc>
      </w:tr>
      <w:tr>
        <w:tc>
          <w:tcPr>
            <w:tcW w:type="dxa" w:w="3096"/>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demand_growth_delta</w:t>
            </w:r>
          </w:p>
        </w:tc>
        <w:tc>
          <w:tcPr>
            <w:tcW w:type="dxa" w:w="367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Changes growth over rounds.</w:t>
            </w:r>
          </w:p>
        </w:tc>
        <w:tc>
          <w:tcPr>
            <w:tcW w:type="dxa" w:w="374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Creates boom or recession path.</w:t>
            </w:r>
          </w:p>
        </w:tc>
      </w:tr>
      <w:tr>
        <w:tc>
          <w:tcPr>
            <w:tcW w:type="dxa" w:w="3096"/>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premium/mid/beginner share shifts</w:t>
            </w:r>
          </w:p>
        </w:tc>
        <w:tc>
          <w:tcPr>
            <w:tcW w:type="dxa" w:w="367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Changes segment mix.</w:t>
            </w:r>
          </w:p>
        </w:tc>
        <w:tc>
          <w:tcPr>
            <w:tcW w:type="dxa" w:w="374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Changes which product strategies fit the market.</w:t>
            </w:r>
          </w:p>
        </w:tc>
      </w:tr>
      <w:tr>
        <w:tc>
          <w:tcPr>
            <w:tcW w:type="dxa" w:w="3096"/>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price_sensitivity</w:t>
            </w:r>
          </w:p>
        </w:tc>
        <w:tc>
          <w:tcPr>
            <w:tcW w:type="dxa" w:w="367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How strongly demand responds to price.</w:t>
            </w:r>
          </w:p>
        </w:tc>
        <w:tc>
          <w:tcPr>
            <w:tcW w:type="dxa" w:w="374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Rewards low-cost volume or punishes overpricing.</w:t>
            </w:r>
          </w:p>
        </w:tc>
      </w:tr>
      <w:tr>
        <w:tc>
          <w:tcPr>
            <w:tcW w:type="dxa" w:w="3096"/>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quality_sensitivity / customer_pickiness</w:t>
            </w:r>
          </w:p>
        </w:tc>
        <w:tc>
          <w:tcPr>
            <w:tcW w:type="dxa" w:w="367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How strongly quality affects attractiveness.</w:t>
            </w:r>
          </w:p>
        </w:tc>
        <w:tc>
          <w:tcPr>
            <w:tcW w:type="dxa" w:w="374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Rewards QC and premium quality.</w:t>
            </w:r>
          </w:p>
        </w:tc>
      </w:tr>
      <w:tr>
        <w:tc>
          <w:tcPr>
            <w:tcW w:type="dxa" w:w="3096"/>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technology_shift_delta / market_generation_offset</w:t>
            </w:r>
          </w:p>
        </w:tc>
        <w:tc>
          <w:tcPr>
            <w:tcW w:type="dxa" w:w="367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How fast tech expectations move.</w:t>
            </w:r>
          </w:p>
        </w:tc>
        <w:tc>
          <w:tcPr>
            <w:tcW w:type="dxa" w:w="374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Rewards innovation and newer products.</w:t>
            </w:r>
          </w:p>
        </w:tc>
      </w:tr>
      <w:tr>
        <w:tc>
          <w:tcPr>
            <w:tcW w:type="dxa" w:w="3096"/>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material_cost_index_delta</w:t>
            </w:r>
          </w:p>
        </w:tc>
        <w:tc>
          <w:tcPr>
            <w:tcW w:type="dxa" w:w="367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Input cost pressure.</w:t>
            </w:r>
          </w:p>
        </w:tc>
        <w:tc>
          <w:tcPr>
            <w:tcW w:type="dxa" w:w="374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Tightens margins and rewards sourcing discipline.</w:t>
            </w:r>
          </w:p>
        </w:tc>
      </w:tr>
      <w:tr>
        <w:tc>
          <w:tcPr>
            <w:tcW w:type="dxa" w:w="3096"/>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supply_risk_override</w:t>
            </w:r>
          </w:p>
        </w:tc>
        <w:tc>
          <w:tcPr>
            <w:tcW w:type="dxa" w:w="367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Supply disruption pressure.</w:t>
            </w:r>
          </w:p>
        </w:tc>
        <w:tc>
          <w:tcPr>
            <w:tcW w:type="dxa" w:w="374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Increases risk and can reward conservative strategies.</w:t>
            </w:r>
          </w:p>
        </w:tc>
      </w:tr>
      <w:tr>
        <w:tc>
          <w:tcPr>
            <w:tcW w:type="dxa" w:w="3096"/>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forecast_volatility</w:t>
            </w:r>
          </w:p>
        </w:tc>
        <w:tc>
          <w:tcPr>
            <w:tcW w:type="dxa" w:w="367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Forecast difficulty.</w:t>
            </w:r>
          </w:p>
        </w:tc>
        <w:tc>
          <w:tcPr>
            <w:tcW w:type="dxa" w:w="374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Rewards balanced S&amp;OP and planning discipline.</w:t>
            </w:r>
          </w:p>
        </w:tc>
      </w:tr>
      <w:tr>
        <w:tc>
          <w:tcPr>
            <w:tcW w:type="dxa" w:w="3096"/>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price_war_pressure</w:t>
            </w:r>
          </w:p>
        </w:tc>
        <w:tc>
          <w:tcPr>
            <w:tcW w:type="dxa" w:w="367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Competitive price pressure.</w:t>
            </w:r>
          </w:p>
        </w:tc>
        <w:tc>
          <w:tcPr>
            <w:tcW w:type="dxa" w:w="374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Rewards low price but can destroy margins.</w:t>
            </w:r>
          </w:p>
        </w:tc>
      </w:tr>
      <w:tr>
        <w:tc>
          <w:tcPr>
            <w:tcW w:type="dxa" w:w="3096"/>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cash_stress_factor</w:t>
            </w:r>
          </w:p>
        </w:tc>
        <w:tc>
          <w:tcPr>
            <w:tcW w:type="dxa" w:w="367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Liquidity and interest pressure.</w:t>
            </w:r>
          </w:p>
        </w:tc>
        <w:tc>
          <w:tcPr>
            <w:tcW w:type="dxa" w:w="374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Rewards cash conservative behavior.</w:t>
            </w:r>
          </w:p>
        </w:tc>
      </w:tr>
    </w:tbl>
    <w:p/>
    <w:p>
      <w:pPr>
        <w:pStyle w:val="Heading1"/>
        <w:spacing w:before="160" w:after="60"/>
      </w:pPr>
      <w:r>
        <w:rPr>
          <w:rFonts w:ascii="Aptos Display" w:hAnsi="Aptos Display"/>
          <w:color w:val="17324D"/>
        </w:rPr>
        <w:t>6. Excel Workbook Output</w:t>
      </w:r>
    </w:p>
    <w:tbl>
      <w:tblPr>
        <w:tblStyle w:val="TableGrid"/>
        <w:tblW w:type="auto" w:w="0"/>
        <w:tblLook w:firstColumn="1" w:firstRow="1" w:lastColumn="0" w:lastRow="0" w:noHBand="0" w:noVBand="1" w:val="04A0"/>
      </w:tblPr>
      <w:tblGrid>
        <w:gridCol w:w="5227"/>
        <w:gridCol w:w="5227"/>
      </w:tblGrid>
      <w:tr>
        <w:tc>
          <w:tcPr>
            <w:tcW w:type="dxa" w:w="3024"/>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Workbook Sheet</w:t>
            </w:r>
          </w:p>
        </w:tc>
        <w:tc>
          <w:tcPr>
            <w:tcW w:type="dxa" w:w="7488"/>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Contents</w:t>
            </w:r>
          </w:p>
        </w:tc>
      </w:tr>
      <w:tr>
        <w:tc>
          <w:tcPr>
            <w:tcW w:type="dxa" w:w="302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Scenario_Assumptions</w:t>
            </w:r>
          </w:p>
        </w:tc>
        <w:tc>
          <w:tcPr>
            <w:tcW w:type="dxa" w:w="7488"/>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One row per environment with parameter values and run mode.</w:t>
            </w:r>
          </w:p>
        </w:tc>
      </w:tr>
      <w:tr>
        <w:tc>
          <w:tcPr>
            <w:tcW w:type="dxa" w:w="302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All_Scenario_Winners</w:t>
            </w:r>
          </w:p>
        </w:tc>
        <w:tc>
          <w:tcPr>
            <w:tcW w:type="dxa" w:w="7488"/>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Profit, balanced, service, forecast, cash, and innovation winners by environment.</w:t>
            </w:r>
          </w:p>
        </w:tc>
      </w:tr>
      <w:tr>
        <w:tc>
          <w:tcPr>
            <w:tcW w:type="dxa" w:w="302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Strategy_Summary</w:t>
            </w:r>
          </w:p>
        </w:tc>
        <w:tc>
          <w:tcPr>
            <w:tcW w:type="dxa" w:w="7488"/>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Win counts, average profit, revenue, cash, debt, service, forecast accuracy, ranks, strengths, weaknesses.</w:t>
            </w:r>
          </w:p>
        </w:tc>
      </w:tr>
      <w:tr>
        <w:tc>
          <w:tcPr>
            <w:tcW w:type="dxa" w:w="302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Teaching_Insights</w:t>
            </w:r>
          </w:p>
        </w:tc>
        <w:tc>
          <w:tcPr>
            <w:tcW w:type="dxa" w:w="7488"/>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What each scenario represents, why winner won, student lesson, discussion question.</w:t>
            </w:r>
          </w:p>
        </w:tc>
      </w:tr>
      <w:tr>
        <w:tc>
          <w:tcPr>
            <w:tcW w:type="dxa" w:w="302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One sheet per scenario</w:t>
            </w:r>
          </w:p>
        </w:tc>
        <w:tc>
          <w:tcPr>
            <w:tcW w:type="dxa" w:w="7488"/>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Scenario assumptions, final team results, round-by-round details, winner summary.</w:t>
            </w:r>
          </w:p>
        </w:tc>
      </w:tr>
      <w:tr>
        <w:tc>
          <w:tcPr>
            <w:tcW w:type="dxa" w:w="302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CSV files</w:t>
            </w:r>
          </w:p>
        </w:tc>
        <w:tc>
          <w:tcPr>
            <w:tcW w:type="dxa" w:w="7488"/>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scenario_assumptions.csv, all_scenario_winners.csv, strategy_summary.csv, teaching_insights.csv, round_level_results.csv, final_team_results.csv.</w:t>
            </w:r>
          </w:p>
        </w:tc>
      </w:tr>
    </w:tbl>
    <w:p/>
    <w:p>
      <w:pPr>
        <w:pStyle w:val="Heading1"/>
        <w:spacing w:before="160" w:after="60"/>
      </w:pPr>
      <w:r>
        <w:rPr>
          <w:rFonts w:ascii="Aptos Display" w:hAnsi="Aptos Display"/>
          <w:color w:val="17324D"/>
        </w:rPr>
        <w:t>7. Winner Logic</w:t>
      </w:r>
    </w:p>
    <w:tbl>
      <w:tblPr>
        <w:tblStyle w:val="TableGrid"/>
        <w:tblW w:type="auto" w:w="0"/>
        <w:tblLook w:firstColumn="1" w:firstRow="1" w:lastColumn="0" w:lastRow="0" w:noHBand="0" w:noVBand="1" w:val="04A0"/>
      </w:tblPr>
      <w:tblGrid>
        <w:gridCol w:w="3485"/>
        <w:gridCol w:w="3485"/>
        <w:gridCol w:w="3485"/>
      </w:tblGrid>
      <w:tr>
        <w:tc>
          <w:tcPr>
            <w:tcW w:type="dxa" w:w="2304"/>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Winner Type</w:t>
            </w:r>
          </w:p>
        </w:tc>
        <w:tc>
          <w:tcPr>
            <w:tcW w:type="dxa" w:w="4032"/>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How It Is Selected</w:t>
            </w:r>
          </w:p>
        </w:tc>
        <w:tc>
          <w:tcPr>
            <w:tcW w:type="dxa" w:w="4176"/>
            <w:vAlign w:val="center"/>
            <w:shd w:fill="17324D"/>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color w:val="FFFFFF"/>
                <w:sz w:val="17"/>
              </w:rPr>
              <w:t>Teaching Use</w:t>
            </w:r>
          </w:p>
        </w:tc>
      </w:tr>
      <w:tr>
        <w:tc>
          <w:tcPr>
            <w:tcW w:type="dxa" w:w="230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Profit winner</w:t>
            </w:r>
          </w:p>
        </w:tc>
        <w:tc>
          <w:tcPr>
            <w:tcW w:type="dxa" w:w="403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Highest final profit.</w:t>
            </w:r>
          </w:p>
        </w:tc>
        <w:tc>
          <w:tcPr>
            <w:tcW w:type="dxa" w:w="4176"/>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Shows short-term economic winner.</w:t>
            </w:r>
          </w:p>
        </w:tc>
      </w:tr>
      <w:tr>
        <w:tc>
          <w:tcPr>
            <w:tcW w:type="dxa" w:w="230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Balanced winner</w:t>
            </w:r>
          </w:p>
        </w:tc>
        <w:tc>
          <w:tcPr>
            <w:tcW w:type="dxa" w:w="403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Composite score across profit, service, forecast, and cash.</w:t>
            </w:r>
          </w:p>
        </w:tc>
        <w:tc>
          <w:tcPr>
            <w:tcW w:type="dxa" w:w="4176"/>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Avoids profit-only gaming.</w:t>
            </w:r>
          </w:p>
        </w:tc>
      </w:tr>
      <w:tr>
        <w:tc>
          <w:tcPr>
            <w:tcW w:type="dxa" w:w="230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Service winner</w:t>
            </w:r>
          </w:p>
        </w:tc>
        <w:tc>
          <w:tcPr>
            <w:tcW w:type="dxa" w:w="403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Best service/fill-rate performance.</w:t>
            </w:r>
          </w:p>
        </w:tc>
        <w:tc>
          <w:tcPr>
            <w:tcW w:type="dxa" w:w="4176"/>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Highlights customer fulfillment.</w:t>
            </w:r>
          </w:p>
        </w:tc>
      </w:tr>
      <w:tr>
        <w:tc>
          <w:tcPr>
            <w:tcW w:type="dxa" w:w="230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Forecast winner</w:t>
            </w:r>
          </w:p>
        </w:tc>
        <w:tc>
          <w:tcPr>
            <w:tcW w:type="dxa" w:w="403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Best forecast accuracy / lowest error.</w:t>
            </w:r>
          </w:p>
        </w:tc>
        <w:tc>
          <w:tcPr>
            <w:tcW w:type="dxa" w:w="4176"/>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Highlights planning discipline.</w:t>
            </w:r>
          </w:p>
        </w:tc>
      </w:tr>
      <w:tr>
        <w:tc>
          <w:tcPr>
            <w:tcW w:type="dxa" w:w="2304"/>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Cash winner</w:t>
            </w:r>
          </w:p>
        </w:tc>
        <w:tc>
          <w:tcPr>
            <w:tcW w:type="dxa" w:w="4032"/>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Strongest cash and debt profile.</w:t>
            </w:r>
          </w:p>
        </w:tc>
        <w:tc>
          <w:tcPr>
            <w:tcW w:type="dxa" w:w="4176"/>
            <w:vAlign w:val="center"/>
            <w:shd w:fill="FFFFFF"/>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Highlights liquidity management.</w:t>
            </w:r>
          </w:p>
        </w:tc>
      </w:tr>
      <w:tr>
        <w:tc>
          <w:tcPr>
            <w:tcW w:type="dxa" w:w="2304"/>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Innovation winner</w:t>
            </w:r>
          </w:p>
        </w:tc>
        <w:tc>
          <w:tcPr>
            <w:tcW w:type="dxa" w:w="4032"/>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Strongest innovation/tech/pipeline result.</w:t>
            </w:r>
          </w:p>
        </w:tc>
        <w:tc>
          <w:tcPr>
            <w:tcW w:type="dxa" w:w="4176"/>
            <w:vAlign w:val="center"/>
            <w:shd w:fill="FAFBFC"/>
            <w:tcBorders>
              <w:top w:val="single" w:sz="4" w:space="0" w:color="D9E2EA"/>
              <w:left w:val="single" w:sz="4" w:space="0" w:color="D9E2EA"/>
              <w:bottom w:val="single" w:sz="4" w:space="0" w:color="D9E2EA"/>
              <w:right w:val="single" w:sz="4" w:space="0" w:color="D9E2EA"/>
            </w:tcBorders>
          </w:tcPr>
          <w:p>
            <w:pPr>
              <w:spacing w:after="20" w:line="245" w:lineRule="auto"/>
            </w:pPr>
            <w:r/>
            <w:r>
              <w:rPr>
                <w:rFonts w:ascii="Aptos" w:hAnsi="Aptos"/>
                <w:b w:val="0"/>
                <w:sz w:val="17"/>
              </w:rPr>
              <w:t>Highlights future-readiness.</w:t>
            </w:r>
          </w:p>
        </w:tc>
      </w:tr>
    </w:tbl>
    <w:p/>
    <w:p>
      <w:pPr>
        <w:pStyle w:val="Heading1"/>
        <w:spacing w:before="160" w:after="60"/>
      </w:pPr>
      <w:r>
        <w:rPr>
          <w:rFonts w:ascii="Aptos Display" w:hAnsi="Aptos Display"/>
          <w:color w:val="17324D"/>
        </w:rPr>
        <w:t>8. Calibration Warning</w:t>
      </w:r>
    </w:p>
    <w:p>
      <w:pPr>
        <w:spacing w:after="80" w:line="254" w:lineRule="auto"/>
      </w:pPr>
      <w:r>
        <w:rPr>
          <w:rFonts w:ascii="Aptos" w:hAnsi="Aptos"/>
          <w:color w:val="1F2933"/>
          <w:sz w:val="18"/>
        </w:rPr>
        <w:t>If one strategy wins more than 60% of profit scenarios or balanced-score scenarios, the script prints a calibration warning. This is useful because the goal is not to make one strategy always best. The teaching goal is conditional fit: different strategies should win under different market environments.</w:t>
      </w:r>
    </w:p>
    <w:tbl>
      <w:tblPr>
        <w:tblW w:type="auto" w:w="0"/>
        <w:tblLook w:firstColumn="1" w:firstRow="1" w:lastColumn="0" w:lastRow="0" w:noHBand="0" w:noVBand="1" w:val="04A0"/>
      </w:tblPr>
      <w:tblGrid>
        <w:gridCol w:w="10454"/>
      </w:tblGrid>
      <w:tr>
        <w:tc>
          <w:tcPr>
            <w:tcW w:type="dxa" w:w="10454"/>
            <w:shd w:fill="F2F4F7"/>
            <w:tcBorders>
              <w:top w:val="single" w:sz="4" w:space="0" w:color="CED6DE"/>
              <w:left w:val="single" w:sz="4" w:space="0" w:color="CED6DE"/>
              <w:bottom w:val="single" w:sz="4" w:space="0" w:color="CED6DE"/>
              <w:right w:val="single" w:sz="4" w:space="0" w:color="CED6DE"/>
            </w:tcBorders>
          </w:tcPr>
          <w:p>
            <w:pPr>
              <w:spacing w:after="0"/>
            </w:pPr>
            <w:r>
              <w:rPr>
                <w:rFonts w:ascii="Consolas" w:hAnsi="Consolas"/>
                <w:color w:val="1C2733"/>
                <w:sz w:val="16"/>
              </w:rPr>
              <w:t>Calibration warning: one strategy dominates profit too much. Consider strengthening scenario-specific rewards.</w:t>
              <w:br/>
              <w:t>Calibration warning: one strategy dominates balanced score too much. Consider adjusting balanced score weights or scenario-specific rewards.</w:t>
            </w:r>
          </w:p>
        </w:tc>
      </w:tr>
    </w:tbl>
    <w:p/>
    <w:p>
      <w:pPr>
        <w:pStyle w:val="Heading1"/>
        <w:spacing w:before="160" w:after="60"/>
      </w:pPr>
      <w:r>
        <w:rPr>
          <w:rFonts w:ascii="Aptos Display" w:hAnsi="Aptos Display"/>
          <w:color w:val="17324D"/>
        </w:rPr>
        <w:t>9. How to Use Results in Class</w:t>
      </w:r>
    </w:p>
    <w:p>
      <w:pPr>
        <w:spacing w:after="20"/>
      </w:pPr>
      <w:r>
        <w:rPr>
          <w:rFonts w:ascii="Aptos" w:hAnsi="Aptos"/>
          <w:sz w:val="18"/>
        </w:rPr>
        <w:t>1. Show the Strategy_Summary sheet to prove that no single strategy should dominate every environment.</w:t>
      </w:r>
    </w:p>
    <w:p>
      <w:pPr>
        <w:spacing w:after="20"/>
      </w:pPr>
      <w:r>
        <w:rPr>
          <w:rFonts w:ascii="Aptos" w:hAnsi="Aptos"/>
          <w:sz w:val="18"/>
        </w:rPr>
        <w:t>2. Pick two contrasting environments, such as Cash Crunch and Tech Shift.</w:t>
      </w:r>
    </w:p>
    <w:p>
      <w:pPr>
        <w:spacing w:after="20"/>
      </w:pPr>
      <w:r>
        <w:rPr>
          <w:rFonts w:ascii="Aptos" w:hAnsi="Aptos"/>
          <w:sz w:val="18"/>
        </w:rPr>
        <w:t>3. Ask students why the winning strategy changed.</w:t>
      </w:r>
    </w:p>
    <w:p>
      <w:pPr>
        <w:spacing w:after="20"/>
      </w:pPr>
      <w:r>
        <w:rPr>
          <w:rFonts w:ascii="Aptos" w:hAnsi="Aptos"/>
          <w:sz w:val="18"/>
        </w:rPr>
        <w:t>4. Compare profit winner vs balanced-score winner.</w:t>
      </w:r>
    </w:p>
    <w:p>
      <w:pPr>
        <w:spacing w:after="20"/>
      </w:pPr>
      <w:r>
        <w:rPr>
          <w:rFonts w:ascii="Aptos" w:hAnsi="Aptos"/>
          <w:sz w:val="18"/>
        </w:rPr>
        <w:t>5. Discuss whether grading should reward profit, service, forecast discipline, cash health, innovation, or a balanced combination.</w:t>
      </w:r>
    </w:p>
    <w:p>
      <w:pPr>
        <w:spacing w:after="20"/>
      </w:pPr>
      <w:r>
        <w:rPr>
          <w:rFonts w:ascii="Aptos" w:hAnsi="Aptos"/>
          <w:sz w:val="18"/>
        </w:rPr>
        <w:t>6. Use environment-specific results to justify scenario design for future classes.</w:t>
      </w:r>
    </w:p>
    <w:sectPr w:rsidR="00FC693F" w:rsidRPr="0006063C" w:rsidSect="00034616">
      <w:pgSz w:w="12240" w:h="15840"/>
      <w:pgMar w:top="835"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29"/>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51606D"/>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