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17324D"/>
          <w:sz w:val="44"/>
        </w:rPr>
        <w:t>Simulator Model Description and Formulas</w:t>
      </w:r>
    </w:p>
    <w:p>
      <w:pPr>
        <w:jc w:val="center"/>
      </w:pPr>
      <w:r>
        <w:rPr>
          <w:rFonts w:ascii="Aptos" w:hAnsi="Aptos"/>
          <w:color w:val="5A6872"/>
          <w:sz w:val="21"/>
        </w:rPr>
        <w:t>Pickleball paddle OM/SCM classroom competition - model, theory, state variables, and scoring logic</w:t>
      </w:r>
    </w:p>
    <w:tbl>
      <w:tblPr>
        <w:tblW w:type="auto" w:w="0"/>
        <w:tblLook w:firstColumn="1" w:firstRow="1" w:lastColumn="0" w:lastRow="0" w:noHBand="0" w:noVBand="1" w:val="04A0"/>
      </w:tblPr>
      <w:tblGrid>
        <w:gridCol w:w="10454"/>
      </w:tblGrid>
      <w:tr>
        <w:tc>
          <w:tcPr>
            <w:tcW w:type="dxa" w:w="10454"/>
            <w:shd w:fill="EAF3F8"/>
            <w:tcBorders>
              <w:top w:val="single" w:sz="4" w:space="0" w:color="BCD0DD"/>
              <w:left w:val="single" w:sz="4" w:space="0" w:color="BCD0DD"/>
              <w:bottom w:val="single" w:sz="4" w:space="0" w:color="BCD0DD"/>
              <w:right w:val="single" w:sz="4" w:space="0" w:color="BCD0DD"/>
            </w:tcBorders>
          </w:tcPr>
          <w:p>
            <w:pPr>
              <w:spacing w:after="40"/>
            </w:pPr>
            <w:r>
              <w:rPr>
                <w:rFonts w:ascii="Aptos Display" w:hAnsi="Aptos Display"/>
                <w:b/>
                <w:color w:val="17324D"/>
                <w:sz w:val="20"/>
              </w:rPr>
              <w:t>Purpose</w:t>
            </w:r>
            <w:r>
              <w:br/>
            </w:r>
            <w:r>
              <w:rPr>
                <w:rFonts w:ascii="Aptos" w:hAnsi="Aptos"/>
                <w:color w:val="1F2933"/>
                <w:sz w:val="17"/>
              </w:rPr>
              <w:t>Use this file to explain what the simulator is modeling, what decisions students make, how the engine calculates outcomes, and what learning theory sits behind the game.</w:t>
            </w:r>
          </w:p>
        </w:tc>
      </w:tr>
    </w:tbl>
    <w:p/>
    <w:p>
      <w:r>
        <w:br w:type="page"/>
      </w:r>
    </w:p>
    <w:p>
      <w:pPr>
        <w:pStyle w:val="Heading1"/>
        <w:spacing w:before="160" w:after="60"/>
      </w:pPr>
      <w:r>
        <w:rPr>
          <w:rFonts w:ascii="Aptos Display" w:hAnsi="Aptos Display"/>
          <w:color w:val="17324D"/>
        </w:rPr>
        <w:t>1. Module Identity</w:t>
      </w:r>
    </w:p>
    <w:p>
      <w:pPr>
        <w:spacing w:after="80" w:line="254" w:lineRule="auto"/>
      </w:pPr>
      <w:r>
        <w:rPr>
          <w:rFonts w:ascii="Aptos" w:hAnsi="Aptos"/>
          <w:color w:val="1F2933"/>
          <w:sz w:val="18"/>
        </w:rPr>
        <w:t>The app is a classroom business simulator for a pickleball paddle market. Each team runs a paddle company that must manage operations, supply chain, product portfolio, new product development, forecasting, and cash discipline. The simulator intentionally excludes marketing and ambassador strategy for now so students focus on OM/SCM tradeoffs.</w:t>
      </w:r>
    </w:p>
    <w:tbl>
      <w:tblPr>
        <w:tblStyle w:val="TableGrid"/>
        <w:tblW w:type="auto" w:w="0"/>
        <w:tblLook w:firstColumn="1" w:firstRow="1" w:lastColumn="0" w:lastRow="0" w:noHBand="0" w:noVBand="1" w:val="04A0"/>
      </w:tblPr>
      <w:tblGrid>
        <w:gridCol w:w="3485"/>
        <w:gridCol w:w="3485"/>
        <w:gridCol w:w="3485"/>
      </w:tblGrid>
      <w:tr>
        <w:tc>
          <w:tcPr>
            <w:tcW w:type="dxa" w:w="187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Layer</w:t>
            </w:r>
          </w:p>
        </w:tc>
        <w:tc>
          <w:tcPr>
            <w:tcW w:type="dxa" w:w="432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What It Represents</w:t>
            </w:r>
          </w:p>
        </w:tc>
        <w:tc>
          <w:tcPr>
            <w:tcW w:type="dxa" w:w="432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Student Learning</w:t>
            </w:r>
          </w:p>
        </w:tc>
      </w:tr>
      <w:tr>
        <w:tc>
          <w:tcPr>
            <w:tcW w:type="dxa" w:w="18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Operations</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Capacity, production, QC spend, defects, inventory, backlog</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Capacity is not free; quality is not free; inventory protects service but ties cash.</w:t>
            </w:r>
          </w:p>
        </w:tc>
      </w:tr>
      <w:tr>
        <w:tc>
          <w:tcPr>
            <w:tcW w:type="dxa" w:w="18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Supply chain</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Raw material orders, supplier mix, expedited ordering, supply risk</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Sourcing cost, reliability, lead time, and defect pressure are linked.</w:t>
            </w:r>
          </w:p>
        </w:tc>
      </w:tr>
      <w:tr>
        <w:tc>
          <w:tcPr>
            <w:tcW w:type="dxa" w:w="18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Portfolio</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Up to three active products with price, forecast, production, QC, segment, lifecycle</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 company competes product by product, not just as one blended firm.</w:t>
            </w:r>
          </w:p>
        </w:tc>
      </w:tr>
      <w:tr>
        <w:tc>
          <w:tcPr>
            <w:tcW w:type="dxa" w:w="18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Innovation</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Two NPD projects, investment, testing, readiness, delayed launch, replacement</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Future products require current cash and management attention.</w:t>
            </w:r>
          </w:p>
        </w:tc>
      </w:tr>
      <w:tr>
        <w:tc>
          <w:tcPr>
            <w:tcW w:type="dxa" w:w="18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Finance</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Cash balance, debt, interest, working capital, liquidity stress</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Growth and innovation can fail if they consume too much cash.</w:t>
            </w:r>
          </w:p>
        </w:tc>
      </w:tr>
      <w:tr>
        <w:tc>
          <w:tcPr>
            <w:tcW w:type="dxa" w:w="18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Planning</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Forecast vs actual, WAPE, production gap, service gap</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S&amp;OP discipline matters even when profit is the headline metric.</w:t>
            </w:r>
          </w:p>
        </w:tc>
      </w:tr>
    </w:tbl>
    <w:p/>
    <w:p>
      <w:pPr>
        <w:pStyle w:val="Heading1"/>
        <w:spacing w:before="160" w:after="60"/>
      </w:pPr>
      <w:r>
        <w:rPr>
          <w:rFonts w:ascii="Aptos Display" w:hAnsi="Aptos Display"/>
          <w:color w:val="17324D"/>
        </w:rPr>
        <w:t>2. Main Decision Variables</w:t>
      </w:r>
    </w:p>
    <w:tbl>
      <w:tblPr>
        <w:tblStyle w:val="TableGrid"/>
        <w:tblW w:type="auto" w:w="0"/>
        <w:tblLook w:firstColumn="1" w:firstRow="1" w:lastColumn="0" w:lastRow="0" w:noHBand="0" w:noVBand="1" w:val="04A0"/>
      </w:tblPr>
      <w:tblGrid>
        <w:gridCol w:w="3485"/>
        <w:gridCol w:w="3485"/>
        <w:gridCol w:w="3485"/>
      </w:tblGrid>
      <w:tr>
        <w:tc>
          <w:tcPr>
            <w:tcW w:type="dxa" w:w="223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Decision Area</w:t>
            </w:r>
          </w:p>
        </w:tc>
        <w:tc>
          <w:tcPr>
            <w:tcW w:type="dxa" w:w="4896"/>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Inputs</w:t>
            </w:r>
          </w:p>
        </w:tc>
        <w:tc>
          <w:tcPr>
            <w:tcW w:type="dxa" w:w="338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Why It Matters</w:t>
            </w:r>
          </w:p>
        </w:tc>
      </w:tr>
      <w:tr>
        <w:tc>
          <w:tcPr>
            <w:tcW w:type="dxa" w:w="22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Firm operations</w:t>
            </w:r>
          </w:p>
        </w:tc>
        <w:tc>
          <w:tcPr>
            <w:tcW w:type="dxa" w:w="48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overtime_capacity_units, capacity_expansion_units</w:t>
            </w:r>
          </w:p>
        </w:tc>
        <w:tc>
          <w:tcPr>
            <w:tcW w:type="dxa" w:w="33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Controls short-term and future capacity; overtime can increase cost and stress.</w:t>
            </w:r>
          </w:p>
        </w:tc>
      </w:tr>
      <w:tr>
        <w:tc>
          <w:tcPr>
            <w:tcW w:type="dxa" w:w="22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Sourcing</w:t>
            </w:r>
          </w:p>
        </w:tc>
        <w:tc>
          <w:tcPr>
            <w:tcW w:type="dxa" w:w="48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raw_material_order_qty, supplier_mix_offshore_pct, supplier_mix_balanced_pct, supplier_mix_premium_pct, expedited_order_share_pct</w:t>
            </w:r>
          </w:p>
        </w:tc>
        <w:tc>
          <w:tcPr>
            <w:tcW w:type="dxa" w:w="33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Drives material cost, lead time, supply-risk exposure, and supplier defect pressure.</w:t>
            </w:r>
          </w:p>
        </w:tc>
      </w:tr>
      <w:tr>
        <w:tc>
          <w:tcPr>
            <w:tcW w:type="dxa" w:w="22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Service policy</w:t>
            </w:r>
          </w:p>
        </w:tc>
        <w:tc>
          <w:tcPr>
            <w:tcW w:type="dxa" w:w="48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max_backorder_units</w:t>
            </w:r>
          </w:p>
        </w:tc>
        <w:tc>
          <w:tcPr>
            <w:tcW w:type="dxa" w:w="33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Determines how much unmet demand can become backlog instead of lost sales.</w:t>
            </w:r>
          </w:p>
        </w:tc>
      </w:tr>
      <w:tr>
        <w:tc>
          <w:tcPr>
            <w:tcW w:type="dxa" w:w="22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Finance</w:t>
            </w:r>
          </w:p>
        </w:tc>
        <w:tc>
          <w:tcPr>
            <w:tcW w:type="dxa" w:w="48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planned_borrowing_amount</w:t>
            </w:r>
          </w:p>
        </w:tc>
        <w:tc>
          <w:tcPr>
            <w:tcW w:type="dxa" w:w="33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Lets teams protect cash before the engine auto-borrows residual deficits.</w:t>
            </w:r>
          </w:p>
        </w:tc>
      </w:tr>
      <w:tr>
        <w:tc>
          <w:tcPr>
            <w:tcW w:type="dxa" w:w="22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Product decisions</w:t>
            </w:r>
          </w:p>
        </w:tc>
        <w:tc>
          <w:tcPr>
            <w:tcW w:type="dxa" w:w="48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product_name, is_active, target_segment, selling_price_per_unit, forecast_units, planned_production_units, qc_budget_per_unit, target_finished_goods_inventory, retire_flag</w:t>
            </w:r>
          </w:p>
        </w:tc>
        <w:tc>
          <w:tcPr>
            <w:tcW w:type="dxa" w:w="33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Connects product strategy to operations and S&amp;OP.</w:t>
            </w:r>
          </w:p>
        </w:tc>
      </w:tr>
      <w:tr>
        <w:tc>
          <w:tcPr>
            <w:tcW w:type="dxa" w:w="22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NPD decisions</w:t>
            </w:r>
          </w:p>
        </w:tc>
        <w:tc>
          <w:tcPr>
            <w:tcW w:type="dxa" w:w="48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project_name, target_segment, target_tech_generation, intended_slot_name, planned_launch_round, investment_this_round, testing_intensity, launch_now, cancel_now</w:t>
            </w:r>
          </w:p>
        </w:tc>
        <w:tc>
          <w:tcPr>
            <w:tcW w:type="dxa" w:w="33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Controls pipeline progress, launch timing, and replacement decisions.</w:t>
            </w:r>
          </w:p>
        </w:tc>
      </w:tr>
    </w:tbl>
    <w:p/>
    <w:p>
      <w:pPr>
        <w:pStyle w:val="Heading1"/>
        <w:spacing w:before="160" w:after="60"/>
      </w:pPr>
      <w:r>
        <w:rPr>
          <w:rFonts w:ascii="Aptos Display" w:hAnsi="Aptos Display"/>
          <w:color w:val="17324D"/>
        </w:rPr>
        <w:t>3. Round Algorithm</w:t>
      </w:r>
    </w:p>
    <w:p>
      <w:pPr>
        <w:spacing w:after="20"/>
      </w:pPr>
      <w:r>
        <w:rPr>
          <w:rFonts w:ascii="Aptos" w:hAnsi="Aptos"/>
          <w:sz w:val="18"/>
        </w:rPr>
        <w:t>1. Load the current public market report.</w:t>
      </w:r>
    </w:p>
    <w:p>
      <w:pPr>
        <w:spacing w:after="20"/>
      </w:pPr>
      <w:r>
        <w:rPr>
          <w:rFonts w:ascii="Aptos" w:hAnsi="Aptos"/>
          <w:sz w:val="18"/>
        </w:rPr>
        <w:t>2. Load submitted firm-level decisions, product decisions, forecasts, active product lines, development projects, and persistent team states.</w:t>
      </w:r>
    </w:p>
    <w:p>
      <w:pPr>
        <w:spacing w:after="20"/>
      </w:pPr>
      <w:r>
        <w:rPr>
          <w:rFonts w:ascii="Aptos" w:hAnsi="Aptos"/>
          <w:sz w:val="18"/>
        </w:rPr>
        <w:t>3. Initialize missing state from archetype baselines, including capacity, reputation, and default portfolio templates.</w:t>
      </w:r>
    </w:p>
    <w:p>
      <w:pPr>
        <w:spacing w:after="20"/>
      </w:pPr>
      <w:r>
        <w:rPr>
          <w:rFonts w:ascii="Aptos" w:hAnsi="Aptos"/>
          <w:sz w:val="18"/>
        </w:rPr>
        <w:t>4. Compute shared firm constraints: installed capacity, overtime capacity, raw material availability, supplier cost, supplier lead time, supplier defect pressure, and cash position.</w:t>
      </w:r>
    </w:p>
    <w:p>
      <w:pPr>
        <w:spacing w:after="20"/>
      </w:pPr>
      <w:r>
        <w:rPr>
          <w:rFonts w:ascii="Aptos" w:hAnsi="Aptos"/>
          <w:sz w:val="18"/>
        </w:rPr>
        <w:t>5. Progress NPD projects through investment and testing; determine whether projects become launch-ready.</w:t>
      </w:r>
    </w:p>
    <w:p>
      <w:pPr>
        <w:spacing w:after="20"/>
      </w:pPr>
      <w:r>
        <w:rPr>
          <w:rFonts w:ascii="Aptos" w:hAnsi="Aptos"/>
          <w:sz w:val="18"/>
        </w:rPr>
        <w:t>6. Apply launch, retirement, and replacement choices when eligibility rules are met.</w:t>
      </w:r>
    </w:p>
    <w:p>
      <w:pPr>
        <w:spacing w:after="20"/>
      </w:pPr>
      <w:r>
        <w:rPr>
          <w:rFonts w:ascii="Aptos" w:hAnsi="Aptos"/>
          <w:sz w:val="18"/>
        </w:rPr>
        <w:t>7. Allocate feasible production across active product decisions under shared capacity and raw-material constraints.</w:t>
      </w:r>
    </w:p>
    <w:p>
      <w:pPr>
        <w:spacing w:after="20"/>
      </w:pPr>
      <w:r>
        <w:rPr>
          <w:rFonts w:ascii="Aptos" w:hAnsi="Aptos"/>
          <w:sz w:val="18"/>
        </w:rPr>
        <w:t>8. Compute product-level defect rates and good units produced.</w:t>
      </w:r>
    </w:p>
    <w:p>
      <w:pPr>
        <w:spacing w:after="20"/>
      </w:pPr>
      <w:r>
        <w:rPr>
          <w:rFonts w:ascii="Aptos" w:hAnsi="Aptos"/>
          <w:sz w:val="18"/>
        </w:rPr>
        <w:t>9. Calculate product attractiveness for premium, mid, and beginner demand segments.</w:t>
      </w:r>
    </w:p>
    <w:p>
      <w:pPr>
        <w:spacing w:after="20"/>
      </w:pPr>
      <w:r>
        <w:rPr>
          <w:rFonts w:ascii="Aptos" w:hAnsi="Aptos"/>
          <w:sz w:val="18"/>
        </w:rPr>
        <w:t>10. Allocate segment demand across all active products from all teams.</w:t>
      </w:r>
    </w:p>
    <w:p>
      <w:pPr>
        <w:spacing w:after="20"/>
      </w:pPr>
      <w:r>
        <w:rPr>
          <w:rFonts w:ascii="Aptos" w:hAnsi="Aptos"/>
          <w:sz w:val="18"/>
        </w:rPr>
        <w:t>11. Apply intra-team cannibalization when newer or stronger same-group products steal demand from older products.</w:t>
      </w:r>
    </w:p>
    <w:p>
      <w:pPr>
        <w:spacing w:after="20"/>
      </w:pPr>
      <w:r>
        <w:rPr>
          <w:rFonts w:ascii="Aptos" w:hAnsi="Aptos"/>
          <w:sz w:val="18"/>
        </w:rPr>
        <w:t>12. Realize sales, lost sales, backlog, ending inventory, revenue, cost, profit, and contribution margin.</w:t>
      </w:r>
    </w:p>
    <w:p>
      <w:pPr>
        <w:spacing w:after="20"/>
      </w:pPr>
      <w:r>
        <w:rPr>
          <w:rFonts w:ascii="Aptos" w:hAnsi="Aptos"/>
          <w:sz w:val="18"/>
        </w:rPr>
        <w:t>13. Compute forecast accuracy and planning diagnostics.</w:t>
      </w:r>
    </w:p>
    <w:p>
      <w:pPr>
        <w:spacing w:after="20"/>
      </w:pPr>
      <w:r>
        <w:rPr>
          <w:rFonts w:ascii="Aptos" w:hAnsi="Aptos"/>
          <w:sz w:val="18"/>
        </w:rPr>
        <w:t>14. Update cash, debt, interest, working capital stress, reputation, inventory, backlog, raw material inventory, capacity, product ages, lifecycle stages, and cumulative profit.</w:t>
      </w:r>
    </w:p>
    <w:p>
      <w:pPr>
        <w:spacing w:after="20"/>
      </w:pPr>
      <w:r>
        <w:rPr>
          <w:rFonts w:ascii="Aptos" w:hAnsi="Aptos"/>
          <w:sz w:val="18"/>
        </w:rPr>
        <w:t>15. Save team-level and product-level results to SQLite.</w:t>
      </w:r>
    </w:p>
    <w:p>
      <w:pPr>
        <w:pStyle w:val="Heading1"/>
        <w:spacing w:before="160" w:after="60"/>
      </w:pPr>
      <w:r>
        <w:rPr>
          <w:rFonts w:ascii="Aptos Display" w:hAnsi="Aptos Display"/>
          <w:color w:val="17324D"/>
        </w:rPr>
        <w:t>4. Core Formula Logic</w:t>
      </w:r>
    </w:p>
    <w:p>
      <w:pPr>
        <w:pStyle w:val="Heading2"/>
        <w:spacing w:before="120" w:after="40"/>
      </w:pPr>
      <w:r>
        <w:rPr>
          <w:rFonts w:ascii="Aptos Display" w:hAnsi="Aptos Display"/>
          <w:color w:val="1F4E79"/>
        </w:rPr>
        <w:t>Demand Segment Allocation</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premium_demand  = total_demand * premium_share</w:t>
              <w:br/>
              <w:t>mid_demand      = total_demand * mid_share</w:t>
              <w:br/>
              <w:t>beginner_demand = total_demand * beginner_share</w:t>
              <w:br/>
              <w:br/>
              <w:t>product_segment_demand = segment_demand * product_attractiveness / sum(all_product_attractiveness_in_segment)</w:t>
            </w:r>
          </w:p>
        </w:tc>
      </w:tr>
    </w:tbl>
    <w:p/>
    <w:p>
      <w:pPr>
        <w:pStyle w:val="Heading2"/>
        <w:spacing w:before="120" w:after="40"/>
      </w:pPr>
      <w:r>
        <w:rPr>
          <w:rFonts w:ascii="Aptos Display" w:hAnsi="Aptos Display"/>
          <w:color w:val="1F4E79"/>
        </w:rPr>
        <w:t>Product Attractiveness</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attractiveness = (</w:t>
              <w:br/>
              <w:t xml:space="preserve">    price_score</w:t>
              <w:br/>
              <w:t xml:space="preserve">  + quality_score</w:t>
              <w:br/>
              <w:t xml:space="preserve">  + archetype_fit_score</w:t>
              <w:br/>
              <w:t xml:space="preserve">  + product_segment_alignment_score</w:t>
              <w:br/>
              <w:t xml:space="preserve">  + product_demand_fit_score</w:t>
              <w:br/>
              <w:t xml:space="preserve">  + reputation_score</w:t>
              <w:br/>
              <w:t xml:space="preserve">  + service_readiness_score</w:t>
              <w:br/>
              <w:t>) * lifecycle_multiplier * technology_modifier * launch_novelty_bonus</w:t>
            </w:r>
          </w:p>
        </w:tc>
      </w:tr>
    </w:tbl>
    <w:p/>
    <w:p>
      <w:pPr>
        <w:spacing w:after="80" w:line="254" w:lineRule="auto"/>
      </w:pPr>
      <w:r>
        <w:rPr>
          <w:rFonts w:ascii="Aptos" w:hAnsi="Aptos"/>
          <w:color w:val="1F2933"/>
          <w:sz w:val="18"/>
        </w:rPr>
        <w:t>The coefficients are calibration choices, not universal laws. They are intentionally transparent so an instructor can tune the market. A premium-heavy market can give more weight to quality and technology. A beginner boom can give more weight to price competitiveness.</w:t>
      </w:r>
    </w:p>
    <w:p>
      <w:pPr>
        <w:pStyle w:val="Heading2"/>
        <w:spacing w:before="120" w:after="40"/>
      </w:pPr>
      <w:r>
        <w:rPr>
          <w:rFonts w:ascii="Aptos Display" w:hAnsi="Aptos Display"/>
          <w:color w:val="1F4E79"/>
        </w:rPr>
        <w:t>Capacity and Production</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effective_capacity = installed_capacity + overtime_capacity_units</w:t>
              <w:br/>
              <w:t>requested_production = sum(planned_production_units for active products)</w:t>
              <w:br/>
              <w:t>feasible_production = min(requested_production, effective_capacity, raw_material_available)</w:t>
              <w:br/>
              <w:br/>
              <w:t>if requested_production &gt; feasible_production:</w:t>
              <w:br/>
              <w:t xml:space="preserve">    product production is capped proportionally across active products</w:t>
            </w:r>
          </w:p>
        </w:tc>
      </w:tr>
    </w:tbl>
    <w:p/>
    <w:p>
      <w:pPr>
        <w:pStyle w:val="Heading2"/>
        <w:spacing w:before="120" w:after="40"/>
      </w:pPr>
      <w:r>
        <w:rPr>
          <w:rFonts w:ascii="Aptos Display" w:hAnsi="Aptos Display"/>
          <w:color w:val="1F4E79"/>
        </w:rPr>
        <w:t>Sourcing Cost and Lead Time</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weighted_material_cost = (</w:t>
              <w:br/>
              <w:t xml:space="preserve">    offshore_share * offshore_unit_cost</w:t>
              <w:br/>
              <w:t xml:space="preserve">  + balanced_share * balanced_unit_cost</w:t>
              <w:br/>
              <w:t xml:space="preserve">  + premium_share * premium_unit_cost</w:t>
              <w:br/>
              <w:t>) * material_cost_index</w:t>
              <w:br/>
              <w:br/>
              <w:t>weighted_lead_time = supplier_mix_weighted_lead_time - expedited_lead_time_reduction</w:t>
            </w:r>
          </w:p>
        </w:tc>
      </w:tr>
    </w:tbl>
    <w:p/>
    <w:p>
      <w:pPr>
        <w:pStyle w:val="Heading2"/>
        <w:spacing w:before="120" w:after="40"/>
      </w:pPr>
      <w:r>
        <w:rPr>
          <w:rFonts w:ascii="Aptos Display" w:hAnsi="Aptos Display"/>
          <w:color w:val="1F4E79"/>
        </w:rPr>
        <w:t>Defect Rate</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qc_effect = qc_max_reduction * (1 - exp(-qc_response_rate * qc_budget_per_unit))</w:t>
              <w:br/>
              <w:t>defect_rate = base_defect_rate + supplier_defect_pressure + utilization_stress + product_modifier - qc_effect</w:t>
            </w:r>
          </w:p>
        </w:tc>
      </w:tr>
    </w:tbl>
    <w:p/>
    <w:p>
      <w:pPr>
        <w:pStyle w:val="Heading2"/>
        <w:spacing w:before="120" w:after="40"/>
      </w:pPr>
      <w:r>
        <w:rPr>
          <w:rFonts w:ascii="Aptos Display" w:hAnsi="Aptos Display"/>
          <w:color w:val="1F4E79"/>
        </w:rPr>
        <w:t>Forecast Accuracy</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forecast_error_units = actual_demand_units - forecast_units</w:t>
              <w:br/>
              <w:t>absolute_error_units = abs(forecast_error_units)</w:t>
              <w:br/>
              <w:t>forecast_bias_pct = forecast_error_units / max(forecast_units, 1)</w:t>
              <w:br/>
              <w:t>team_wape = sum(abs_error_units) / max(sum(actual_demand_units), 1)</w:t>
            </w:r>
          </w:p>
        </w:tc>
      </w:tr>
    </w:tbl>
    <w:p/>
    <w:p>
      <w:pPr>
        <w:pStyle w:val="Heading2"/>
        <w:spacing w:before="120" w:after="40"/>
      </w:pPr>
      <w:r>
        <w:rPr>
          <w:rFonts w:ascii="Aptos Display" w:hAnsi="Aptos Display"/>
          <w:color w:val="1F4E79"/>
        </w:rPr>
        <w:t>Cash and Debt</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ending_cash_before_borrowing = starting_cash + revenue - procurement_cost - production_cost - qc_cost - holding_cost - warranty_cost - backlog_cost - expansion_cost - development_investment - interest_expense</w:t>
              <w:br/>
              <w:br/>
              <w:t>if ending_cash_before_borrowing &lt; 0:</w:t>
              <w:br/>
              <w:t xml:space="preserve">    short_term_debt_increase = abs(ending_cash_before_borrowing)</w:t>
              <w:br/>
              <w:t xml:space="preserve">    ending_cash = 0</w:t>
              <w:br/>
              <w:t>else:</w:t>
              <w:br/>
              <w:t xml:space="preserve">    ending_cash = ending_cash_before_borrowing</w:t>
            </w:r>
          </w:p>
        </w:tc>
      </w:tr>
    </w:tbl>
    <w:p/>
    <w:p>
      <w:pPr>
        <w:pStyle w:val="Heading1"/>
        <w:spacing w:before="160" w:after="60"/>
      </w:pPr>
      <w:r>
        <w:rPr>
          <w:rFonts w:ascii="Aptos Display" w:hAnsi="Aptos Display"/>
          <w:color w:val="17324D"/>
        </w:rPr>
        <w:t>5. Product Portfolio and Lifecycle</w:t>
      </w:r>
    </w:p>
    <w:tbl>
      <w:tblPr>
        <w:tblStyle w:val="TableGrid"/>
        <w:tblW w:type="auto" w:w="0"/>
        <w:tblLook w:firstColumn="1" w:firstRow="1" w:lastColumn="0" w:lastRow="0" w:noHBand="0" w:noVBand="1" w:val="04A0"/>
      </w:tblPr>
      <w:tblGrid>
        <w:gridCol w:w="3485"/>
        <w:gridCol w:w="3485"/>
        <w:gridCol w:w="3485"/>
      </w:tblGrid>
      <w:tr>
        <w:tc>
          <w:tcPr>
            <w:tcW w:type="dxa" w:w="216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Lifecycle Stage</w:t>
            </w:r>
          </w:p>
        </w:tc>
        <w:tc>
          <w:tcPr>
            <w:tcW w:type="dxa" w:w="216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Typical Age Rule</w:t>
            </w:r>
          </w:p>
        </w:tc>
        <w:tc>
          <w:tcPr>
            <w:tcW w:type="dxa" w:w="619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Model Meaning</w:t>
            </w:r>
          </w:p>
        </w:tc>
      </w:tr>
      <w:tr>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Launch</w:t>
            </w:r>
          </w:p>
        </w:tc>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Age 0-1</w:t>
            </w:r>
          </w:p>
        </w:tc>
        <w:tc>
          <w:tcPr>
            <w:tcW w:type="dxa" w:w="619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New product, novelty boost, possible early instability.</w:t>
            </w:r>
          </w:p>
        </w:tc>
      </w:tr>
      <w:tr>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Growth</w:t>
            </w:r>
          </w:p>
        </w:tc>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Age 2-3</w:t>
            </w:r>
          </w:p>
        </w:tc>
        <w:tc>
          <w:tcPr>
            <w:tcW w:type="dxa" w:w="619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Strongest demand momentum and market attention.</w:t>
            </w:r>
          </w:p>
        </w:tc>
      </w:tr>
      <w:tr>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Maturity</w:t>
            </w:r>
          </w:p>
        </w:tc>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Age 4-6</w:t>
            </w:r>
          </w:p>
        </w:tc>
        <w:tc>
          <w:tcPr>
            <w:tcW w:type="dxa" w:w="619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Stable demand, less novelty, may need price or quality discipline.</w:t>
            </w:r>
          </w:p>
        </w:tc>
      </w:tr>
      <w:tr>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Decline</w:t>
            </w:r>
          </w:p>
        </w:tc>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Age 7+</w:t>
            </w:r>
          </w:p>
        </w:tc>
        <w:tc>
          <w:tcPr>
            <w:tcW w:type="dxa" w:w="619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Lower attractiveness and greater risk of obsolescence.</w:t>
            </w:r>
          </w:p>
        </w:tc>
      </w:tr>
    </w:tbl>
    <w:p/>
    <w:p>
      <w:pPr>
        <w:spacing w:after="80" w:line="254" w:lineRule="auto"/>
      </w:pPr>
      <w:r>
        <w:rPr>
          <w:rFonts w:ascii="Aptos" w:hAnsi="Aptos"/>
          <w:color w:val="1F2933"/>
          <w:sz w:val="18"/>
        </w:rPr>
        <w:t>The lifecycle system is simple by design. It gives students a reason to manage active products and future products without turning the class into a complex product-development simulation.</w:t>
      </w:r>
    </w:p>
    <w:p>
      <w:pPr>
        <w:pStyle w:val="Heading1"/>
        <w:spacing w:before="160" w:after="60"/>
      </w:pPr>
      <w:r>
        <w:rPr>
          <w:rFonts w:ascii="Aptos Display" w:hAnsi="Aptos Display"/>
          <w:color w:val="17324D"/>
        </w:rPr>
        <w:t>6. Technology Generations and Innovation</w:t>
      </w:r>
    </w:p>
    <w:tbl>
      <w:tblPr>
        <w:tblStyle w:val="TableGrid"/>
        <w:tblW w:type="auto" w:w="0"/>
        <w:tblLook w:firstColumn="1" w:firstRow="1" w:lastColumn="0" w:lastRow="0" w:noHBand="0" w:noVBand="1" w:val="04A0"/>
      </w:tblPr>
      <w:tblGrid>
        <w:gridCol w:w="3485"/>
        <w:gridCol w:w="3485"/>
        <w:gridCol w:w="3485"/>
      </w:tblGrid>
      <w:tr>
        <w:tc>
          <w:tcPr>
            <w:tcW w:type="dxa" w:w="2088"/>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Concept</w:t>
            </w:r>
          </w:p>
        </w:tc>
        <w:tc>
          <w:tcPr>
            <w:tcW w:type="dxa" w:w="446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Mechanic</w:t>
            </w:r>
          </w:p>
        </w:tc>
        <w:tc>
          <w:tcPr>
            <w:tcW w:type="dxa" w:w="396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Learning Point</w:t>
            </w:r>
          </w:p>
        </w:tc>
      </w:tr>
      <w:tr>
        <w:tc>
          <w:tcPr>
            <w:tcW w:type="dxa" w:w="20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Market generation</w:t>
            </w:r>
          </w:p>
        </w:tc>
        <w:tc>
          <w:tcPr>
            <w:tcW w:type="dxa" w:w="446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Public market report indicates current technology generation and adoption pressure.</w:t>
            </w:r>
          </w:p>
        </w:tc>
        <w:tc>
          <w:tcPr>
            <w:tcW w:type="dxa" w:w="39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The market can move faster than a team's portfolio.</w:t>
            </w:r>
          </w:p>
        </w:tc>
      </w:tr>
      <w:tr>
        <w:tc>
          <w:tcPr>
            <w:tcW w:type="dxa" w:w="20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Product generation</w:t>
            </w:r>
          </w:p>
        </w:tc>
        <w:tc>
          <w:tcPr>
            <w:tcW w:type="dxa" w:w="446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Each product carries a tech_generation integer.</w:t>
            </w:r>
          </w:p>
        </w:tc>
        <w:tc>
          <w:tcPr>
            <w:tcW w:type="dxa" w:w="39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Older products may lose attractiveness, especially in premium and mid segments.</w:t>
            </w:r>
          </w:p>
        </w:tc>
      </w:tr>
      <w:tr>
        <w:tc>
          <w:tcPr>
            <w:tcW w:type="dxa" w:w="20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NPD readiness</w:t>
            </w:r>
          </w:p>
        </w:tc>
        <w:tc>
          <w:tcPr>
            <w:tcW w:type="dxa" w:w="446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Cumulative investment and testing intensity increase readiness; higher tech has more complexity.</w:t>
            </w:r>
          </w:p>
        </w:tc>
        <w:tc>
          <w:tcPr>
            <w:tcW w:type="dxa" w:w="39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Innovation requires funding and time.</w:t>
            </w:r>
          </w:p>
        </w:tc>
      </w:tr>
      <w:tr>
        <w:tc>
          <w:tcPr>
            <w:tcW w:type="dxa" w:w="20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Delayed launch</w:t>
            </w:r>
          </w:p>
        </w:tc>
        <w:tc>
          <w:tcPr>
            <w:tcW w:type="dxa" w:w="446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 project cannot launch until investment, readiness, and earliest launch round gates are satisfied.</w:t>
            </w:r>
          </w:p>
        </w:tc>
        <w:tc>
          <w:tcPr>
            <w:tcW w:type="dxa" w:w="39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Students cannot instantly create a perfect product.</w:t>
            </w:r>
          </w:p>
        </w:tc>
      </w:tr>
      <w:tr>
        <w:tc>
          <w:tcPr>
            <w:tcW w:type="dxa" w:w="20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Replacement</w:t>
            </w:r>
          </w:p>
        </w:tc>
        <w:tc>
          <w:tcPr>
            <w:tcW w:type="dxa" w:w="446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 launched project can replace an active product slot.</w:t>
            </w:r>
          </w:p>
        </w:tc>
        <w:tc>
          <w:tcPr>
            <w:tcW w:type="dxa" w:w="39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Retirement and timing are strategic choices.</w:t>
            </w:r>
          </w:p>
        </w:tc>
      </w:tr>
    </w:tbl>
    <w:p/>
    <w:p>
      <w:pPr>
        <w:pStyle w:val="Heading1"/>
        <w:spacing w:before="160" w:after="60"/>
      </w:pPr>
      <w:r>
        <w:rPr>
          <w:rFonts w:ascii="Aptos Display" w:hAnsi="Aptos Display"/>
          <w:color w:val="17324D"/>
        </w:rPr>
        <w:t>7. Performance Measures</w:t>
      </w:r>
    </w:p>
    <w:tbl>
      <w:tblPr>
        <w:tblStyle w:val="TableGrid"/>
        <w:tblW w:type="auto" w:w="0"/>
        <w:tblLook w:firstColumn="1" w:firstRow="1" w:lastColumn="0" w:lastRow="0" w:noHBand="0" w:noVBand="1" w:val="04A0"/>
      </w:tblPr>
      <w:tblGrid>
        <w:gridCol w:w="3485"/>
        <w:gridCol w:w="3485"/>
        <w:gridCol w:w="3485"/>
      </w:tblGrid>
      <w:tr>
        <w:tc>
          <w:tcPr>
            <w:tcW w:type="dxa" w:w="216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Metric</w:t>
            </w:r>
          </w:p>
        </w:tc>
        <w:tc>
          <w:tcPr>
            <w:tcW w:type="dxa" w:w="3888"/>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What It Rewards</w:t>
            </w:r>
          </w:p>
        </w:tc>
        <w:tc>
          <w:tcPr>
            <w:tcW w:type="dxa" w:w="446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What It Can Miss</w:t>
            </w:r>
          </w:p>
        </w:tc>
      </w:tr>
      <w:tr>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Profit</w:t>
            </w:r>
          </w:p>
        </w:tc>
        <w:tc>
          <w:tcPr>
            <w:tcW w:type="dxa" w:w="38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Economic value this round or cumulatively.</w:t>
            </w:r>
          </w:p>
        </w:tc>
        <w:tc>
          <w:tcPr>
            <w:tcW w:type="dxa" w:w="446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Can reward risky debt or short-term behavior.</w:t>
            </w:r>
          </w:p>
        </w:tc>
      </w:tr>
      <w:tr>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Balanced score</w:t>
            </w:r>
          </w:p>
        </w:tc>
        <w:tc>
          <w:tcPr>
            <w:tcW w:type="dxa" w:w="38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Profit, service, forecast accuracy, and cash health.</w:t>
            </w:r>
          </w:p>
        </w:tc>
        <w:tc>
          <w:tcPr>
            <w:tcW w:type="dxa" w:w="446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Depends on instructor-selected weights.</w:t>
            </w:r>
          </w:p>
        </w:tc>
      </w:tr>
      <w:tr>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Fill rate / service</w:t>
            </w:r>
          </w:p>
        </w:tc>
        <w:tc>
          <w:tcPr>
            <w:tcW w:type="dxa" w:w="38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Ability to satisfy demand.</w:t>
            </w:r>
          </w:p>
        </w:tc>
        <w:tc>
          <w:tcPr>
            <w:tcW w:type="dxa" w:w="446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Can hide poor margins if service is bought with too much inventory.</w:t>
            </w:r>
          </w:p>
        </w:tc>
      </w:tr>
      <w:tr>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Forecast accuracy</w:t>
            </w:r>
          </w:p>
        </w:tc>
        <w:tc>
          <w:tcPr>
            <w:tcW w:type="dxa" w:w="38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S&amp;OP discipline and planning realism.</w:t>
            </w:r>
          </w:p>
        </w:tc>
        <w:tc>
          <w:tcPr>
            <w:tcW w:type="dxa" w:w="446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 team can forecast well and still choose weak pricing or production.</w:t>
            </w:r>
          </w:p>
        </w:tc>
      </w:tr>
      <w:tr>
        <w:tc>
          <w:tcPr>
            <w:tcW w:type="dxa" w:w="216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Cash health</w:t>
            </w:r>
          </w:p>
        </w:tc>
        <w:tc>
          <w:tcPr>
            <w:tcW w:type="dxa" w:w="38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Liquidity, low debt, and financial resilience.</w:t>
            </w:r>
          </w:p>
        </w:tc>
        <w:tc>
          <w:tcPr>
            <w:tcW w:type="dxa" w:w="446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Can be too conservative if used alone.</w:t>
            </w:r>
          </w:p>
        </w:tc>
      </w:tr>
      <w:tr>
        <w:tc>
          <w:tcPr>
            <w:tcW w:type="dxa" w:w="216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Innovation position</w:t>
            </w:r>
          </w:p>
        </w:tc>
        <w:tc>
          <w:tcPr>
            <w:tcW w:type="dxa" w:w="38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Pipeline readiness and technology progress.</w:t>
            </w:r>
          </w:p>
        </w:tc>
        <w:tc>
          <w:tcPr>
            <w:tcW w:type="dxa" w:w="446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Future value may not show as immediate profit.</w:t>
            </w:r>
          </w:p>
        </w:tc>
      </w:tr>
    </w:tbl>
    <w:p/>
    <w:tbl>
      <w:tblPr>
        <w:tblW w:type="auto" w:w="0"/>
        <w:tblLook w:firstColumn="1" w:firstRow="1" w:lastColumn="0" w:lastRow="0" w:noHBand="0" w:noVBand="1" w:val="04A0"/>
      </w:tblPr>
      <w:tblGrid>
        <w:gridCol w:w="10454"/>
      </w:tblGrid>
      <w:tr>
        <w:tc>
          <w:tcPr>
            <w:tcW w:type="dxa" w:w="10454"/>
            <w:shd w:fill="EAF6EF"/>
            <w:tcBorders>
              <w:top w:val="single" w:sz="4" w:space="0" w:color="BCD0DD"/>
              <w:left w:val="single" w:sz="4" w:space="0" w:color="BCD0DD"/>
              <w:bottom w:val="single" w:sz="4" w:space="0" w:color="BCD0DD"/>
              <w:right w:val="single" w:sz="4" w:space="0" w:color="BCD0DD"/>
            </w:tcBorders>
          </w:tcPr>
          <w:p>
            <w:pPr>
              <w:spacing w:after="40"/>
            </w:pPr>
            <w:r>
              <w:rPr>
                <w:rFonts w:ascii="Aptos Display" w:hAnsi="Aptos Display"/>
                <w:b/>
                <w:color w:val="17324D"/>
                <w:sz w:val="20"/>
              </w:rPr>
              <w:t>Suggested classroom scoring lens</w:t>
            </w:r>
            <w:r>
              <w:br/>
            </w:r>
            <w:r>
              <w:rPr>
                <w:rFonts w:ascii="Aptos" w:hAnsi="Aptos"/>
                <w:color w:val="1F2933"/>
                <w:sz w:val="17"/>
              </w:rPr>
              <w:t>Use profit as one metric, not the only metric. A useful balanced score is 40% profit, 20% service, 20% forecast accuracy, 20% cash health, with a liquidity-stress penalty.</w:t>
            </w:r>
          </w:p>
        </w:tc>
      </w:tr>
    </w:tbl>
    <w:p/>
    <w:p>
      <w:pPr>
        <w:pStyle w:val="Heading1"/>
        <w:spacing w:before="160" w:after="60"/>
      </w:pPr>
      <w:r>
        <w:rPr>
          <w:rFonts w:ascii="Aptos Display" w:hAnsi="Aptos Display"/>
          <w:color w:val="17324D"/>
        </w:rPr>
        <w:t>8. Theory Behind the Simulator</w:t>
      </w:r>
    </w:p>
    <w:tbl>
      <w:tblPr>
        <w:tblStyle w:val="TableGrid"/>
        <w:tblW w:type="auto" w:w="0"/>
        <w:tblLook w:firstColumn="1" w:firstRow="1" w:lastColumn="0" w:lastRow="0" w:noHBand="0" w:noVBand="1" w:val="04A0"/>
      </w:tblPr>
      <w:tblGrid>
        <w:gridCol w:w="5227"/>
        <w:gridCol w:w="5227"/>
      </w:tblGrid>
      <w:tr>
        <w:tc>
          <w:tcPr>
            <w:tcW w:type="dxa" w:w="288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Theory Area</w:t>
            </w:r>
          </w:p>
        </w:tc>
        <w:tc>
          <w:tcPr>
            <w:tcW w:type="dxa" w:w="763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How It Appears in the Game</w:t>
            </w:r>
          </w:p>
        </w:tc>
      </w:tr>
      <w:tr>
        <w:tc>
          <w:tcPr>
            <w:tcW w:type="dxa" w:w="288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S&amp;OP</w:t>
            </w:r>
          </w:p>
        </w:tc>
        <w:tc>
          <w:tcPr>
            <w:tcW w:type="dxa" w:w="76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Teams forecast demand, align production and sourcing, and face forecast-error consequences.</w:t>
            </w:r>
          </w:p>
        </w:tc>
      </w:tr>
      <w:tr>
        <w:tc>
          <w:tcPr>
            <w:tcW w:type="dxa" w:w="288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Newsvendor / inventory tradeoff</w:t>
            </w:r>
          </w:p>
        </w:tc>
        <w:tc>
          <w:tcPr>
            <w:tcW w:type="dxa" w:w="76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Too little inventory causes lost sales/backlog; too much inventory creates holding cost and cash burden.</w:t>
            </w:r>
          </w:p>
        </w:tc>
      </w:tr>
      <w:tr>
        <w:tc>
          <w:tcPr>
            <w:tcW w:type="dxa" w:w="288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Capacity management</w:t>
            </w:r>
          </w:p>
        </w:tc>
        <w:tc>
          <w:tcPr>
            <w:tcW w:type="dxa" w:w="76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Installed capacity, overtime, expansion, and utilization stress shape feasibility and defects.</w:t>
            </w:r>
          </w:p>
        </w:tc>
      </w:tr>
      <w:tr>
        <w:tc>
          <w:tcPr>
            <w:tcW w:type="dxa" w:w="288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Quality economics</w:t>
            </w:r>
          </w:p>
        </w:tc>
        <w:tc>
          <w:tcPr>
            <w:tcW w:type="dxa" w:w="76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QC spend reduces defect rate with diminishing returns; warranty cost makes defects financially visible.</w:t>
            </w:r>
          </w:p>
        </w:tc>
      </w:tr>
      <w:tr>
        <w:tc>
          <w:tcPr>
            <w:tcW w:type="dxa" w:w="288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Supply chain risk pooling and sourcing tradeoffs</w:t>
            </w:r>
          </w:p>
        </w:tc>
        <w:tc>
          <w:tcPr>
            <w:tcW w:type="dxa" w:w="76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Supplier mix changes cost, lead time, reliability, and defect pressure.</w:t>
            </w:r>
          </w:p>
        </w:tc>
      </w:tr>
      <w:tr>
        <w:tc>
          <w:tcPr>
            <w:tcW w:type="dxa" w:w="288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Product lifecycle management</w:t>
            </w:r>
          </w:p>
        </w:tc>
        <w:tc>
          <w:tcPr>
            <w:tcW w:type="dxa" w:w="76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Launch, growth, maturity, and decline affect attractiveness and portfolio timing.</w:t>
            </w:r>
          </w:p>
        </w:tc>
      </w:tr>
      <w:tr>
        <w:tc>
          <w:tcPr>
            <w:tcW w:type="dxa" w:w="288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Technology adoption / obsolescence</w:t>
            </w:r>
          </w:p>
        </w:tc>
        <w:tc>
          <w:tcPr>
            <w:tcW w:type="dxa" w:w="76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Newer generations gain appeal in tech-sensitive segments; older products fade.</w:t>
            </w:r>
          </w:p>
        </w:tc>
      </w:tr>
      <w:tr>
        <w:tc>
          <w:tcPr>
            <w:tcW w:type="dxa" w:w="288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Working capital management</w:t>
            </w:r>
          </w:p>
        </w:tc>
        <w:tc>
          <w:tcPr>
            <w:tcW w:type="dxa" w:w="76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Inventory, development investment, expansion, and debt affect liquidity.</w:t>
            </w:r>
          </w:p>
        </w:tc>
      </w:tr>
    </w:tbl>
    <w:p/>
    <w:sectPr w:rsidR="00FC693F" w:rsidRPr="0006063C" w:rsidSect="00034616">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1606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