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100" w:line="252" w:lineRule="auto"/>
            </w:pPr>
            <w:r>
              <w:rPr>
                <w:b/>
                <w:color w:val="0D9488"/>
                <w:sz w:val="44"/>
              </w:rPr>
              <w:t>Simulator Model and Formula Guide</w:t>
            </w:r>
          </w:p>
          <w:p>
            <w:pPr>
              <w:spacing w:before="0" w:after="100" w:line="252" w:lineRule="auto"/>
            </w:pPr>
            <w:r>
              <w:rPr>
                <w:color w:val="59677B"/>
                <w:sz w:val="21"/>
              </w:rPr>
              <w:t>Kiki Pickleball Business Simulation</w:t>
            </w:r>
          </w:p>
          <w:p>
            <w:pPr>
              <w:spacing w:before="0" w:after="0" w:line="252" w:lineRule="auto"/>
            </w:pPr>
            <w:r>
              <w:rPr>
                <w:b/>
                <w:sz w:val="19"/>
              </w:rPr>
              <w:t>Audience: instructor, TA, researcher, or advanced student who wants to understand the deterministic engine.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CCFBF1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0D9488"/>
              </w:rPr>
              <w:t xml:space="preserve">Model stance: </w:t>
            </w:r>
            <w:r>
              <w:t>The simulator is a transparent deterministic teaching model, not an AI black box. Coefficients are tunable calibration choices for classroom learning.</w:t>
            </w:r>
          </w:p>
        </w:tc>
      </w:tr>
    </w:tbl>
    <w:p>
      <w:pPr>
        <w:pStyle w:val="Heading1"/>
        <w:spacing w:before="160" w:after="80" w:line="252" w:lineRule="auto"/>
      </w:pPr>
      <w:r>
        <w:t>1. Round Engine Sequence</w:t>
      </w:r>
    </w:p>
    <w:p>
      <w:pPr>
        <w:pStyle w:val="ListNumber"/>
        <w:spacing w:before="0" w:after="20" w:line="252" w:lineRule="auto"/>
      </w:pPr>
      <w:r>
        <w:t>Load market report, team decisions, product lines, product decisions, development projects, and persistent team state.</w:t>
      </w:r>
    </w:p>
    <w:p>
      <w:pPr>
        <w:pStyle w:val="ListNumber"/>
        <w:spacing w:before="0" w:after="20" w:line="252" w:lineRule="auto"/>
      </w:pPr>
      <w:r>
        <w:t>Prepare each team: installed capacity, raw material inventory, supplier mix, cash, debt, reputation, products, and projects.</w:t>
      </w:r>
    </w:p>
    <w:p>
      <w:pPr>
        <w:pStyle w:val="ListNumber"/>
        <w:spacing w:before="0" w:after="20" w:line="252" w:lineRule="auto"/>
      </w:pPr>
      <w:r>
        <w:t>Update NPD progress and determine launch readiness gates.</w:t>
      </w:r>
    </w:p>
    <w:p>
      <w:pPr>
        <w:pStyle w:val="ListNumber"/>
        <w:spacing w:before="0" w:after="20" w:line="252" w:lineRule="auto"/>
      </w:pPr>
      <w:r>
        <w:t>Apply launch, retirement, and replacement decisions.</w:t>
      </w:r>
    </w:p>
    <w:p>
      <w:pPr>
        <w:pStyle w:val="ListNumber"/>
        <w:spacing w:before="0" w:after="20" w:line="252" w:lineRule="auto"/>
      </w:pPr>
      <w:r>
        <w:t>Cap production by shared capacity and raw material constraints.</w:t>
      </w:r>
    </w:p>
    <w:p>
      <w:pPr>
        <w:pStyle w:val="ListNumber"/>
        <w:spacing w:before="0" w:after="20" w:line="252" w:lineRule="auto"/>
      </w:pPr>
      <w:r>
        <w:t>Compute product-level defect rates, good units, demand attractiveness, demand allocation, sales, backlog, inventory, and product contribution.</w:t>
      </w:r>
    </w:p>
    <w:p>
      <w:pPr>
        <w:pStyle w:val="ListNumber"/>
        <w:spacing w:before="0" w:after="20" w:line="252" w:lineRule="auto"/>
      </w:pPr>
      <w:r>
        <w:t>Apply intra-team cannibalization where newer/similar products steal demand from older products.</w:t>
      </w:r>
    </w:p>
    <w:p>
      <w:pPr>
        <w:pStyle w:val="ListNumber"/>
        <w:spacing w:before="0" w:after="20" w:line="252" w:lineRule="auto"/>
      </w:pPr>
      <w:r>
        <w:t>Aggregate product results to team-level revenue, cost, profit, cash, debt, liquidity, forecast accuracy, reputation, and state updates.</w:t>
      </w:r>
    </w:p>
    <w:p>
      <w:pPr>
        <w:pStyle w:val="Heading1"/>
        <w:spacing w:before="160" w:after="80" w:line="252" w:lineRule="auto"/>
      </w:pPr>
      <w:r>
        <w:t>2. Demand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528"/>
            <w:shd w:fill="DBEA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Formula / component</w:t>
            </w:r>
          </w:p>
        </w:tc>
        <w:tc>
          <w:tcPr>
            <w:tcW w:type="dxa" w:w="5688"/>
            <w:shd w:fill="DBEA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Meaning</w:t>
            </w:r>
          </w:p>
        </w:tc>
      </w:tr>
      <w:tr>
        <w:tc>
          <w:tcPr>
            <w:tcW w:type="dxa" w:w="51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premium_demand = total_demand x premium_share</w:t>
            </w:r>
          </w:p>
        </w:tc>
        <w:tc>
          <w:tcPr>
            <w:tcW w:type="dxa" w:w="51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Market report splits demand into premium, mid, and beginner segments.</w:t>
            </w:r>
          </w:p>
        </w:tc>
      </w:tr>
      <w:tr>
        <w:tc>
          <w:tcPr>
            <w:tcW w:type="dxa" w:w="51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attractiveness score</w:t>
            </w:r>
          </w:p>
        </w:tc>
        <w:tc>
          <w:tcPr>
            <w:tcW w:type="dxa" w:w="51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Weighted score from price fit, quality, segment fit, service readiness, technology, lifecycle, reputation, and product demand fit.</w:t>
            </w:r>
          </w:p>
        </w:tc>
      </w:tr>
      <w:tr>
        <w:tc>
          <w:tcPr>
            <w:tcW w:type="dxa" w:w="51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product_demand = segment_demand x product_score / total_segment_score</w:t>
            </w:r>
          </w:p>
        </w:tc>
        <w:tc>
          <w:tcPr>
            <w:tcW w:type="dxa" w:w="51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Each product earns a proportional share of segment demand.</w:t>
            </w:r>
          </w:p>
        </w:tc>
      </w:tr>
      <w:tr>
        <w:tc>
          <w:tcPr>
            <w:tcW w:type="dxa" w:w="51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cannibalization transfer</w:t>
            </w:r>
          </w:p>
        </w:tc>
        <w:tc>
          <w:tcPr>
            <w:tcW w:type="dxa" w:w="51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Same-team products in the same group can transfer some demand from older to newer/stronger products.</w:t>
            </w:r>
          </w:p>
        </w:tc>
      </w:tr>
    </w:tbl>
    <w:p>
      <w:pPr>
        <w:pStyle w:val="Heading1"/>
        <w:spacing w:before="160" w:after="80" w:line="252" w:lineRule="auto"/>
      </w:pPr>
      <w:r>
        <w:t>3. Operations and Cost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DCFCE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Area</w:t>
            </w:r>
          </w:p>
        </w:tc>
        <w:tc>
          <w:tcPr>
            <w:tcW w:type="dxa" w:w="3888"/>
            <w:shd w:fill="DCFCE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Formula idea</w:t>
            </w:r>
          </w:p>
        </w:tc>
        <w:tc>
          <w:tcPr>
            <w:tcW w:type="dxa" w:w="3600"/>
            <w:shd w:fill="DCFCE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Student implication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Capacity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effective_capacity = installed_capacity + overtime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Production cannot exceed what the firm can make.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Materials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raw_material_available = beginning_RM + current_order_effect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Low raw material support caps output.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Defects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defect_rate = base + supplier pressure + utilization stress - QC effect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QC reduces defects but costs money.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Good units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good_units = production x (1 - defect_rate)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Not every produced unit is sellable.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Sales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sales = min(allocated demand, available units)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Demand alone is not enough; inventory/service matter.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Profit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profit = revenue - total_cost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Costs include procurement, production, QC, holding, warranty, backlog, expansion, NPD, and interest.</w:t>
            </w:r>
          </w:p>
        </w:tc>
      </w:tr>
    </w:tbl>
    <w:p>
      <w:pPr>
        <w:pStyle w:val="Heading1"/>
        <w:spacing w:before="160" w:after="80" w:line="252" w:lineRule="auto"/>
      </w:pPr>
      <w:r>
        <w:t>4. Forecast and S&amp;OP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DBEA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Metric</w:t>
            </w:r>
          </w:p>
        </w:tc>
        <w:tc>
          <w:tcPr>
            <w:tcW w:type="dxa" w:w="3888"/>
            <w:shd w:fill="DBEA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Formula</w:t>
            </w:r>
          </w:p>
        </w:tc>
        <w:tc>
          <w:tcPr>
            <w:tcW w:type="dxa" w:w="3312"/>
            <w:shd w:fill="DBEA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Meaning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Forecast error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actual_demand - forecast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Positive means under-forecast; negative means over-forecast.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Absolute error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abs(actual_demand - forecast)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Size of miss regardless of direction.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WAPE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sum(abs(actual - forecast)) / max(sum(actual), 1)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Portfolio-level weighted forecast accuracy.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Forecast-production gap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planned_production - forecast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Shows whether production plan matches expected demand.</w:t>
            </w:r>
          </w:p>
        </w:tc>
      </w:tr>
    </w:tbl>
    <w:p>
      <w:pPr>
        <w:pStyle w:val="Heading1"/>
        <w:spacing w:before="160" w:after="80" w:line="252" w:lineRule="auto"/>
      </w:pPr>
      <w:r>
        <w:t>5. Cash, Debt, and Liquidity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shd w:fill="FEE2E2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Mechanic</w:t>
            </w:r>
          </w:p>
        </w:tc>
        <w:tc>
          <w:tcPr>
            <w:tcW w:type="dxa" w:w="4032"/>
            <w:shd w:fill="FEE2E2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Formula / rule</w:t>
            </w:r>
          </w:p>
        </w:tc>
        <w:tc>
          <w:tcPr>
            <w:tcW w:type="dxa" w:w="3096"/>
            <w:shd w:fill="FEE2E2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Effect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Cash bridge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ending_cash_before_borrowing = starting_cash + revenue + planned_borrowing - costs - interest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Shows whether operations generated or consumed cash.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Planned borrowing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Student enters borrowing amount.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Cash rises now, debt rises by same amount, interest applies.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Automatic borrowing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If cash before borrowing &lt; 0, auto-borrow the shortfall.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Ending cash becomes zero, debt increases, liquidity stress is flagged.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Interest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interest = debt_balance x periodic_interest_rate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Debt reduces future profit.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Working capital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FG inventory value + RM inventory value + debt burden factor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Inventory and debt tie up financial flexibility.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Liquidity stress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Flagged by low cash, high debt/revenue, high working-capital/revenue, repeated borrowing.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Can reduce reputation and signal unsustainable growth.</w:t>
            </w:r>
          </w:p>
        </w:tc>
      </w:tr>
    </w:tbl>
    <w:p>
      <w:pPr>
        <w:pStyle w:val="Heading1"/>
        <w:spacing w:before="160" w:after="80" w:line="252" w:lineRule="auto"/>
      </w:pPr>
      <w:r>
        <w:t>6. Product Development and Launch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EDE9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Gate</w:t>
            </w:r>
          </w:p>
        </w:tc>
        <w:tc>
          <w:tcPr>
            <w:tcW w:type="dxa" w:w="4032"/>
            <w:shd w:fill="EDE9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How it works</w:t>
            </w:r>
          </w:p>
        </w:tc>
        <w:tc>
          <w:tcPr>
            <w:tcW w:type="dxa" w:w="3240"/>
            <w:shd w:fill="EDE9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Managerial meaning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Funding progress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Cumulative investment compared with required investment.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More money generally speeds funding progress.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Readiness score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Investment progress plus testing effect, reduced by higher technology complexity.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High-tech projects need more money/testing.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Earliest launch timing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 project cannot launch before its timing gate.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Prevents instant launches.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Launch decision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Team must check Launch Now when eligible.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Readiness alone does not automatically launch a product.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Fixed settings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Project name, segment, tech generation, slot, launch timing lock after project begins.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Students manage execution, not endless redesign.</w:t>
            </w:r>
          </w:p>
        </w:tc>
      </w:tr>
    </w:tbl>
    <w:p>
      <w:pPr>
        <w:pStyle w:val="Heading1"/>
        <w:spacing w:before="160" w:after="80" w:line="252" w:lineRule="auto"/>
      </w:pPr>
      <w:r>
        <w:t>7. Performance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CCFBF1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Measure</w:t>
            </w:r>
          </w:p>
        </w:tc>
        <w:tc>
          <w:tcPr>
            <w:tcW w:type="dxa" w:w="6336"/>
            <w:shd w:fill="CCFBF1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Why it matters</w:t>
            </w:r>
          </w:p>
        </w:tc>
      </w:tr>
      <w:tr>
        <w:tc>
          <w:tcPr>
            <w:tcW w:type="dxa" w:w="51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Profit</w:t>
            </w:r>
          </w:p>
        </w:tc>
        <w:tc>
          <w:tcPr>
            <w:tcW w:type="dxa" w:w="51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Short-run economic success after all costs.</w:t>
            </w:r>
          </w:p>
        </w:tc>
      </w:tr>
      <w:tr>
        <w:tc>
          <w:tcPr>
            <w:tcW w:type="dxa" w:w="51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Fill rate / service</w:t>
            </w:r>
          </w:p>
        </w:tc>
        <w:tc>
          <w:tcPr>
            <w:tcW w:type="dxa" w:w="51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Ability to meet demand with available sellable units.</w:t>
            </w:r>
          </w:p>
        </w:tc>
      </w:tr>
      <w:tr>
        <w:tc>
          <w:tcPr>
            <w:tcW w:type="dxa" w:w="51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Forecast accuracy</w:t>
            </w:r>
          </w:p>
        </w:tc>
        <w:tc>
          <w:tcPr>
            <w:tcW w:type="dxa" w:w="51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Planning discipline and S&amp;OP quality.</w:t>
            </w:r>
          </w:p>
        </w:tc>
      </w:tr>
      <w:tr>
        <w:tc>
          <w:tcPr>
            <w:tcW w:type="dxa" w:w="51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Cash minus debt</w:t>
            </w:r>
          </w:p>
        </w:tc>
        <w:tc>
          <w:tcPr>
            <w:tcW w:type="dxa" w:w="51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Financial flexibility and survival.</w:t>
            </w:r>
          </w:p>
        </w:tc>
      </w:tr>
      <w:tr>
        <w:tc>
          <w:tcPr>
            <w:tcW w:type="dxa" w:w="51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Reputation</w:t>
            </w:r>
          </w:p>
        </w:tc>
        <w:tc>
          <w:tcPr>
            <w:tcW w:type="dxa" w:w="51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Future demand impact from service, quality, and liquidity stress.</w:t>
            </w:r>
          </w:p>
        </w:tc>
      </w:tr>
      <w:tr>
        <w:tc>
          <w:tcPr>
            <w:tcW w:type="dxa" w:w="51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Innovation position</w:t>
            </w:r>
          </w:p>
        </w:tc>
        <w:tc>
          <w:tcPr>
            <w:tcW w:type="dxa" w:w="51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Pipeline readiness, tech generation, launch timing, and replacement decisions.</w:t>
            </w:r>
          </w:p>
        </w:tc>
      </w:tr>
    </w:tbl>
    <w:p>
      <w:pPr>
        <w:pStyle w:val="Heading1"/>
        <w:spacing w:before="160" w:after="80" w:line="252" w:lineRule="auto"/>
      </w:pPr>
      <w:r>
        <w:t>8. Calibration Note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C7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D97706"/>
              </w:rPr>
              <w:t xml:space="preserve">Instructor tip: </w:t>
            </w:r>
            <w:r>
              <w:t>Do not score only by profit. A balanced score can include profit, service, forecast accuracy, cash health, and innovation timing so students learn tradeoffs rather than gaming one number.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20"/>
            <w:shd w:fill="FEF3C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Tunable area</w:t>
            </w:r>
          </w:p>
        </w:tc>
        <w:tc>
          <w:tcPr>
            <w:tcW w:type="dxa" w:w="3672"/>
            <w:shd w:fill="FEF3C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What changes when adjusted</w:t>
            </w:r>
          </w:p>
        </w:tc>
        <w:tc>
          <w:tcPr>
            <w:tcW w:type="dxa" w:w="3024"/>
            <w:shd w:fill="FEF3C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Classroom use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Demand environment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Total demand, segment shares, price pressure, quality sensitivity.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Create boom, recession, premium, or price-war rounds.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Technology pressure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Market generation and segment adoption of newer tech.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Reward innovation timing or punish stale portfolios.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Supply/cost pressure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Material index, supply risk, supplier cost/defect assumptions.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Teach cost shocks, sourcing tradeoffs, and quality risk.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Finance pressure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Starting cash, interest rate, working-capital burden, liquidity flags.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Show why profit and survival are not identical.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Balanced score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Relative weight on profit, service, forecast, cash, and innovation.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Prevent one extreme strategy from dominating every lesson.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DBEA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Where it appears</w:t>
            </w:r>
          </w:p>
        </w:tc>
        <w:tc>
          <w:tcPr>
            <w:tcW w:type="dxa" w:w="3888"/>
            <w:shd w:fill="DBEA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Main outputs</w:t>
            </w:r>
          </w:p>
        </w:tc>
        <w:tc>
          <w:tcPr>
            <w:tcW w:type="dxa" w:w="3096"/>
            <w:shd w:fill="DBEAFE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What to interpret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Team Decisions preview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Capacity, feasible output, margin, cash, warnings.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Whether the submitted plan is internally coherent before the round.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Round engine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Demand, sales, defects, backlog, inventory, costs, cash.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How market competition and operational constraints convert decisions into outcomes.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Results Dashboard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Rankings, product detail, forecast accuracy, liquidity, lifecycle.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Which tradeoffs explain performance differences across teams.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Finance Detail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Cash bridge, cost buckets, debt, interest, product contribution.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Why accounting profit, available cash, and survival are different.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My Team Tracker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Round history of decisions and results.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How a team's own pattern evolved over time.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DCFCE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Formula family</w:t>
            </w:r>
          </w:p>
        </w:tc>
        <w:tc>
          <w:tcPr>
            <w:tcW w:type="dxa" w:w="3888"/>
            <w:shd w:fill="DCFCE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Main logic</w:t>
            </w:r>
          </w:p>
        </w:tc>
        <w:tc>
          <w:tcPr>
            <w:tcW w:type="dxa" w:w="3096"/>
            <w:shd w:fill="DCFCE7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left"/>
            </w:pPr>
            <w:r>
              <w:rPr>
                <w:b/>
                <w:color w:val="172033"/>
                <w:sz w:val="17"/>
              </w:rPr>
              <w:t>Why students care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Attractiveness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Products split demand by relative weighted scores.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Competitors matter; absolute quality is not enough.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Constraint caps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Capacity and raw materials limit production.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 forecast without resources becomes unmet demand.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Cash bridge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Revenue and borrowing add cash; costs, NPD, and interest consume cash.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A profitable plan can still run out of liquidity.</w:t>
            </w:r>
          </w:p>
        </w:tc>
      </w:tr>
      <w:tr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State carryover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Inventory, backlog, products, projects, cash, debt, reputation, and capacity persist.</w:t>
            </w:r>
          </w:p>
        </w:tc>
        <w:tc>
          <w:tcPr>
            <w:tcW w:type="dxa" w:w="34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  <w:t>Each round starts from prior consequences.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E9FE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7C3AED"/>
              </w:rPr>
              <w:t xml:space="preserve">Research note: </w:t>
            </w:r>
            <w:r>
              <w:t>The coefficients are not claimed as industry estimates. They are transparent teaching parameters that can be calibrated to create different learning environments.</w:t>
            </w:r>
          </w:p>
        </w:tc>
      </w:tr>
    </w:tbl>
    <w:sectPr w:rsidR="00FC693F" w:rsidRPr="0006063C" w:rsidSect="00034616"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9677B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