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2937"/>
          <w:sz w:val="44"/>
        </w:rPr>
        <w:t>Public Market Report Factor Guide</w:t>
      </w:r>
    </w:p>
    <w:p>
      <w:pPr>
        <w:jc w:val="center"/>
      </w:pPr>
      <w:r>
        <w:rPr>
          <w:rFonts w:ascii="Aptos" w:hAnsi="Aptos" w:eastAsia="Aptos"/>
          <w:b/>
          <w:color w:val="EF4444"/>
          <w:sz w:val="22"/>
        </w:rPr>
        <w:t>Pickleball Paddle Market Simulator</w:t>
      </w:r>
    </w:p>
    <w:p>
      <w:pPr>
        <w:jc w:val="center"/>
      </w:pPr>
      <w:r>
        <w:rPr>
          <w:color w:val="6B7280"/>
          <w:sz w:val="18"/>
        </w:rPr>
        <w:t>Instructor reference for setting market environments, explaining factor meanings, and predicting which business strategies each round will reward.</w:t>
      </w:r>
    </w:p>
    <w:tbl>
      <w:tblPr>
        <w:tblW w:type="auto" w:w="0"/>
        <w:tblLayout w:type="autofit"/>
        <w:tblLook w:firstColumn="1" w:firstRow="1" w:lastColumn="0" w:lastRow="0" w:noHBand="0" w:noVBand="1" w:val="04A0"/>
      </w:tblPr>
      <w:tblGrid>
        <w:gridCol w:w="10656"/>
      </w:tblGrid>
      <w:tr>
        <w:tc>
          <w:tcPr>
            <w:tcW w:type="dxa" w:w="10656"/>
            <w:shd w:fill="EAF7EE"/>
            <w:tcBorders>
              <w:top w:val="single" w:sz="6" w:space="0" w:color="C8D5E8"/>
              <w:left w:val="single" w:sz="6" w:space="0" w:color="C8D5E8"/>
              <w:bottom w:val="single" w:sz="6" w:space="0" w:color="C8D5E8"/>
              <w:right w:val="single" w:sz="6" w:space="0" w:color="C8D5E8"/>
              <w:insideH w:val="single" w:sz="6" w:space="0" w:color="C8D5E8"/>
              <w:insideV w:val="single" w:sz="6" w:space="0" w:color="C8D5E8"/>
            </w:tcBorders>
          </w:tcPr>
          <w:p>
            <w:pPr>
              <w:spacing w:after="20"/>
            </w:pPr>
            <w:r>
              <w:rPr>
                <w:rFonts w:ascii="Aptos" w:hAnsi="Aptos" w:eastAsia="Aptos"/>
                <w:b/>
                <w:color w:val="1F2937"/>
                <w:sz w:val="18"/>
              </w:rPr>
              <w:t>Purpose</w:t>
            </w:r>
          </w:p>
          <w:p>
            <w:pPr>
              <w:spacing w:after="0" w:line="245" w:lineRule="auto"/>
            </w:pPr>
            <w:r>
              <w:rPr>
                <w:rFonts w:ascii="Aptos" w:hAnsi="Aptos" w:eastAsia="Aptos"/>
                <w:sz w:val="17"/>
              </w:rPr>
              <w:t>The Public Market Report is the instructor's control panel for the business environment. It shapes demand size, customer segment mix, input-cost pressure, supply risk, quality expectations, and technology pressure before teams submit decisions.</w:t>
            </w:r>
          </w:p>
        </w:tc>
      </w:tr>
    </w:tbl>
    <w:p>
      <w:pPr>
        <w:pStyle w:val="Heading1"/>
      </w:pPr>
      <w:r>
        <w:t>1. How To Read The Current Screenshot</w:t>
      </w:r>
    </w:p>
    <w:p>
      <w:pPr>
        <w:spacing w:after="60"/>
      </w:pPr>
      <w:r>
        <w:t>The screenshot shows Round 3 with a large market, strong premium/mid demand, cheaper material inputs, moderate supply risk, and moderate technology pressure. This is not a pure low-cost market. It gives good opportunities to teams with balanced planning, premium product strength, or controlled innovation.</w:t>
      </w:r>
    </w:p>
    <w:tbl>
      <w:tblPr>
        <w:tblStyle w:val="TableGrid"/>
        <w:tblW w:type="auto" w:w="0"/>
        <w:tblLayout w:type="autofit"/>
        <w:tblLook w:firstColumn="1" w:firstRow="1" w:lastColumn="0" w:lastRow="0" w:noHBand="0" w:noVBand="1" w:val="04A0"/>
      </w:tblPr>
      <w:tblGrid>
        <w:gridCol w:w="3552"/>
        <w:gridCol w:w="3552"/>
        <w:gridCol w:w="3552"/>
      </w:tblGrid>
      <w:tr>
        <w:tc>
          <w:tcPr>
            <w:tcW w:type="dxa" w:w="2088"/>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Factor</w:t>
            </w:r>
          </w:p>
        </w:tc>
        <w:tc>
          <w:tcPr>
            <w:tcW w:type="dxa" w:w="2232"/>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Current value</w:t>
            </w:r>
          </w:p>
        </w:tc>
        <w:tc>
          <w:tcPr>
            <w:tcW w:type="dxa" w:w="6336"/>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Instructor interpretation</w:t>
            </w:r>
          </w:p>
        </w:tc>
      </w:tr>
      <w:tr>
        <w:tc>
          <w:tcPr>
            <w:tcW w:type="dxa" w:w="208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Total demand</w:t>
            </w:r>
          </w:p>
        </w:tc>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2,400 units</w:t>
            </w:r>
          </w:p>
        </w:tc>
        <w:tc>
          <w:tcPr>
            <w:tcW w:type="dxa" w:w="633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Large market. There is enough demand for growth, but teams still need capacity, materials, and cash discipline.</w:t>
            </w:r>
          </w:p>
        </w:tc>
      </w:tr>
      <w:tr>
        <w:tc>
          <w:tcPr>
            <w:tcW w:type="dxa" w:w="208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Segment mix</w:t>
            </w:r>
          </w:p>
        </w:tc>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34% premium / 43% mid / 23% beginner</w:t>
            </w:r>
          </w:p>
        </w:tc>
        <w:tc>
          <w:tcPr>
            <w:tcW w:type="dxa" w:w="633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Premium and mid customers dominate. High-value products matter more than beginner volume.</w:t>
            </w:r>
          </w:p>
        </w:tc>
      </w:tr>
      <w:tr>
        <w:tc>
          <w:tcPr>
            <w:tcW w:type="dxa" w:w="208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Material cost index</w:t>
            </w:r>
          </w:p>
        </w:tc>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0.90</w:t>
            </w:r>
          </w:p>
        </w:tc>
        <w:tc>
          <w:tcPr>
            <w:tcW w:type="dxa" w:w="633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Inputs are 10% cheaper than normal, so margins improve if teams avoid waste and overproduction.</w:t>
            </w:r>
          </w:p>
        </w:tc>
      </w:tr>
      <w:tr>
        <w:tc>
          <w:tcPr>
            <w:tcW w:type="dxa" w:w="208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Supply risk</w:t>
            </w:r>
          </w:p>
        </w:tc>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Moderate</w:t>
            </w:r>
          </w:p>
        </w:tc>
        <w:tc>
          <w:tcPr>
            <w:tcW w:type="dxa" w:w="633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Supplier problems are possible but not extreme. Teams still need sensible sourcing and QC.</w:t>
            </w:r>
          </w:p>
        </w:tc>
      </w:tr>
      <w:tr>
        <w:tc>
          <w:tcPr>
            <w:tcW w:type="dxa" w:w="208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Quality sensitivity</w:t>
            </w:r>
          </w:p>
        </w:tc>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0.45</w:t>
            </w:r>
          </w:p>
        </w:tc>
        <w:tc>
          <w:tcPr>
            <w:tcW w:type="dxa" w:w="633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Customers notice quality, but quality is not the only thing deciding demand.</w:t>
            </w:r>
          </w:p>
        </w:tc>
      </w:tr>
      <w:tr>
        <w:tc>
          <w:tcPr>
            <w:tcW w:type="dxa" w:w="208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Technology environment</w:t>
            </w:r>
          </w:p>
        </w:tc>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Market Gen 2, tech shift 0.20</w:t>
            </w:r>
          </w:p>
        </w:tc>
        <w:tc>
          <w:tcPr>
            <w:tcW w:type="dxa" w:w="633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Technology is moving, but not explosively. Gen 2 or Gen 3 products are competitive.</w:t>
            </w:r>
          </w:p>
        </w:tc>
      </w:tr>
      <w:tr>
        <w:tc>
          <w:tcPr>
            <w:tcW w:type="dxa" w:w="208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Customer tech adoption</w:t>
            </w:r>
          </w:p>
        </w:tc>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Premium 0.70 / Mid 0.45</w:t>
            </w:r>
          </w:p>
        </w:tc>
        <w:tc>
          <w:tcPr>
            <w:tcW w:type="dxa" w:w="633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Premium buyers care much more about newer technology than mid-market buyers.</w:t>
            </w:r>
          </w:p>
        </w:tc>
      </w:tr>
      <w:tr>
        <w:tc>
          <w:tcPr>
            <w:tcW w:type="dxa" w:w="208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Beginner price pressure</w:t>
            </w:r>
          </w:p>
        </w:tc>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0.35</w:t>
            </w:r>
          </w:p>
        </w:tc>
        <w:tc>
          <w:tcPr>
            <w:tcW w:type="dxa" w:w="633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Beginner buyers are price-aware, but this is not a severe price-war environment.</w:t>
            </w:r>
          </w:p>
        </w:tc>
      </w:tr>
    </w:tbl>
    <w:tbl>
      <w:tblPr>
        <w:tblW w:type="auto" w:w="0"/>
        <w:tblLayout w:type="autofit"/>
        <w:tblLook w:firstColumn="1" w:firstRow="1" w:lastColumn="0" w:lastRow="0" w:noHBand="0" w:noVBand="1" w:val="04A0"/>
      </w:tblPr>
      <w:tblGrid>
        <w:gridCol w:w="10656"/>
      </w:tblGrid>
      <w:tr>
        <w:tc>
          <w:tcPr>
            <w:tcW w:type="dxa" w:w="10656"/>
            <w:shd w:fill="FFF8D6"/>
            <w:tcBorders>
              <w:top w:val="single" w:sz="6" w:space="0" w:color="C8D5E8"/>
              <w:left w:val="single" w:sz="6" w:space="0" w:color="C8D5E8"/>
              <w:bottom w:val="single" w:sz="6" w:space="0" w:color="C8D5E8"/>
              <w:right w:val="single" w:sz="6" w:space="0" w:color="C8D5E8"/>
              <w:insideH w:val="single" w:sz="6" w:space="0" w:color="C8D5E8"/>
              <w:insideV w:val="single" w:sz="6" w:space="0" w:color="C8D5E8"/>
            </w:tcBorders>
          </w:tcPr>
          <w:p>
            <w:pPr>
              <w:spacing w:after="20"/>
            </w:pPr>
            <w:r>
              <w:rPr>
                <w:rFonts w:ascii="Aptos" w:hAnsi="Aptos" w:eastAsia="Aptos"/>
                <w:b/>
                <w:color w:val="1F2937"/>
                <w:sz w:val="18"/>
              </w:rPr>
              <w:t>Likely classroom lesson</w:t>
            </w:r>
          </w:p>
          <w:p>
            <w:pPr>
              <w:spacing w:after="0" w:line="245" w:lineRule="auto"/>
            </w:pPr>
            <w:r>
              <w:rPr>
                <w:rFonts w:ascii="Aptos" w:hAnsi="Aptos" w:eastAsia="Aptos"/>
                <w:sz w:val="17"/>
              </w:rPr>
              <w:t>This setup should create a useful tradeoff conversation: growth is possible, premium/mid products have room to win, but teams can still lose if they ignore forecast accuracy, inventory, QC, cash, or technology position.</w:t>
            </w:r>
          </w:p>
        </w:tc>
      </w:tr>
    </w:tbl>
    <w:p>
      <w:pPr>
        <w:pStyle w:val="Heading1"/>
      </w:pPr>
      <w:r>
        <w:t>2. Factor-By-Factor Meaning</w:t>
      </w:r>
    </w:p>
    <w:tbl>
      <w:tblPr>
        <w:tblStyle w:val="TableGrid"/>
        <w:tblW w:type="auto" w:w="0"/>
        <w:tblLayout w:type="autofit"/>
        <w:tblLook w:firstColumn="1" w:firstRow="1" w:lastColumn="0" w:lastRow="0" w:noHBand="0" w:noVBand="1" w:val="04A0"/>
      </w:tblPr>
      <w:tblGrid>
        <w:gridCol w:w="2664"/>
        <w:gridCol w:w="2664"/>
        <w:gridCol w:w="2664"/>
        <w:gridCol w:w="2664"/>
      </w:tblGrid>
      <w:tr>
        <w:tc>
          <w:tcPr>
            <w:tcW w:type="dxa" w:w="1800"/>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Control</w:t>
            </w:r>
          </w:p>
        </w:tc>
        <w:tc>
          <w:tcPr>
            <w:tcW w:type="dxa" w:w="3096"/>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What it means</w:t>
            </w:r>
          </w:p>
        </w:tc>
        <w:tc>
          <w:tcPr>
            <w:tcW w:type="dxa" w:w="3168"/>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When higher</w:t>
            </w:r>
          </w:p>
        </w:tc>
        <w:tc>
          <w:tcPr>
            <w:tcW w:type="dxa" w:w="3168"/>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Instructor note</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Round Number</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The current decision cycle.</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Increment before teams work on the next round. Save the report after changing it.</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Do not leave the same round number if you intend to run a new round.</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Total Demand</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The total market demand pool before it is split into premium, mid, and beginner segments.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demand rewards capacity readiness, inventory availability, and growth planning.</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demand punishes overproduction, excess inventory, and expensive expansion.</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Premium Share</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Percent of total demand from premium customers.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quality, reputation, advanced technology, and premium fit.</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If too high, premium strategies may dominate unless cost and tech risk also rise.</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Mid Share</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Percent of total demand from mainstream mid-market customers.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balanced price, quality, service, and forecast discipline.</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Useful as the default classroom segment because it is not too extreme.</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Beginner Share</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Percent of total demand from entry-level or recreational buyers.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affordability, volume, and simple reliable products.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If paired with high price pressure, low-cost strategies become much stronger.</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Material Cost Index</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Multiplier applied to material/input cost. 1.00 is normal.</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make costs painful and reward margin discipline and supplier choices.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make growth easier, but teams can still overbuild inventory.</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Supply Risk</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risky the supply environment is: Low, Moderate, or High.</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risk increases pressure from sourcing, defects, capacity stress, and service failure.</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Use High for supply-shock lessons; use Low for clean demand/portfolio lessons.</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Quality Sensitivity</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strongly customers and reputation respond to product quality and defects.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QC spend, premium quality, and low defect rates.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make price and availability relatively more important.</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Current Market Generation</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The technology generation customers expect in the market.</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Higher generations make older products less attractive, especially in premium/mid segments.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Use this to force product refresh and NPD timing decisions.</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Technology Shift Rate</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quickly the market is moving toward newer paddle technology.</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innovation investment and launch timing.</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make current operations and cost control more important.</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Premium Tech Adoption</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much premium customers value newer technology.</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Gen 3/Gen 4 premium products and innovation leap strategies.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mean premium customers still care, but quality/reputation can matter more.</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Mid-Market Tech Adoption</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much mid-market customers value newer technology.</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make technology mainstream, not only elite.</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keep the mid segment more price/service balanced.</w:t>
            </w:r>
          </w:p>
        </w:tc>
      </w:tr>
      <w:tr>
        <w:tc>
          <w:tcPr>
            <w:tcW w:type="dxa" w:w="180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Beginner Price Pressure</w:t>
            </w:r>
          </w:p>
        </w:tc>
        <w:tc>
          <w:tcPr>
            <w:tcW w:type="dxa" w:w="3096"/>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How strongly beginner customers react to price.</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High values reward low price, cost control, and high-volume strategies.</w:t>
            </w:r>
          </w:p>
        </w:tc>
        <w:tc>
          <w:tcPr>
            <w:tcW w:type="dxa" w:w="316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Low values reduce the advantage of cheap beginner products.</w:t>
            </w:r>
          </w:p>
        </w:tc>
      </w:tr>
      <w:tr>
        <w:tc>
          <w:tcPr>
            <w:tcW w:type="dxa" w:w="180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Market Event</w:t>
            </w:r>
          </w:p>
        </w:tc>
        <w:tc>
          <w:tcPr>
            <w:tcW w:type="dxa" w:w="3096"/>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Narrative note shown to teams.</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Use it to frame the business story and discussion prompt for the round.</w:t>
            </w:r>
          </w:p>
        </w:tc>
        <w:tc>
          <w:tcPr>
            <w:tcW w:type="dxa" w:w="316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It should match the numeric settings; text alone does not replace the model inputs.</w:t>
            </w:r>
          </w:p>
        </w:tc>
      </w:tr>
    </w:tbl>
    <w:p>
      <w:pPr>
        <w:pStyle w:val="Heading1"/>
      </w:pPr>
      <w:r>
        <w:t>3. Strategy Signals</w:t>
      </w:r>
    </w:p>
    <w:tbl>
      <w:tblPr>
        <w:tblStyle w:val="TableGrid"/>
        <w:tblW w:type="auto" w:w="0"/>
        <w:tblLayout w:type="autofit"/>
        <w:tblLook w:firstColumn="1" w:firstRow="1" w:lastColumn="0" w:lastRow="0" w:noHBand="0" w:noVBand="1" w:val="04A0"/>
      </w:tblPr>
      <w:tblGrid>
        <w:gridCol w:w="3552"/>
        <w:gridCol w:w="3552"/>
        <w:gridCol w:w="3552"/>
      </w:tblGrid>
      <w:tr>
        <w:tc>
          <w:tcPr>
            <w:tcW w:type="dxa" w:w="2304"/>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Strategy</w:t>
            </w:r>
          </w:p>
        </w:tc>
        <w:tc>
          <w:tcPr>
            <w:tcW w:type="dxa" w:w="4464"/>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Environment that favors it</w:t>
            </w:r>
          </w:p>
        </w:tc>
        <w:tc>
          <w:tcPr>
            <w:tcW w:type="dxa" w:w="4320"/>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Teaching point</w:t>
            </w:r>
          </w:p>
        </w:tc>
      </w:tr>
      <w:tr>
        <w:tc>
          <w:tcPr>
            <w:tcW w:type="dxa" w:w="230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Cash conservative</w:t>
            </w:r>
          </w:p>
        </w:tc>
        <w:tc>
          <w:tcPr>
            <w:tcW w:type="dxa" w:w="446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High material cost, high supply risk, low or uncertain demand, cash pressure, inventory risk</w:t>
            </w:r>
          </w:p>
        </w:tc>
        <w:tc>
          <w:tcPr>
            <w:tcW w:type="dxa" w:w="432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Protects liquidity and avoids self-inflicted debt, but can miss upside in demand booms.</w:t>
            </w:r>
          </w:p>
        </w:tc>
      </w:tr>
      <w:tr>
        <w:tc>
          <w:tcPr>
            <w:tcW w:type="dxa" w:w="230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Balanced S&amp;OP</w:t>
            </w:r>
          </w:p>
        </w:tc>
        <w:tc>
          <w:tcPr>
            <w:tcW w:type="dxa" w:w="446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Mixed segments, moderate demand, forecast volatility, service-sensitive markets</w:t>
            </w:r>
          </w:p>
        </w:tc>
        <w:tc>
          <w:tcPr>
            <w:tcW w:type="dxa" w:w="432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Usually strong when the instructor values forecast accuracy, service level, and stable execution.</w:t>
            </w:r>
          </w:p>
        </w:tc>
      </w:tr>
      <w:tr>
        <w:tc>
          <w:tcPr>
            <w:tcW w:type="dxa" w:w="230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Premium quality</w:t>
            </w:r>
          </w:p>
        </w:tc>
        <w:tc>
          <w:tcPr>
            <w:tcW w:type="dxa" w:w="446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High premium share, high quality sensitivity, high premium tech adoption</w:t>
            </w:r>
          </w:p>
        </w:tc>
        <w:tc>
          <w:tcPr>
            <w:tcW w:type="dxa" w:w="432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Wins when customers reward quality and reputation enough to pay higher prices.</w:t>
            </w:r>
          </w:p>
        </w:tc>
      </w:tr>
      <w:tr>
        <w:tc>
          <w:tcPr>
            <w:tcW w:type="dxa" w:w="230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Innovation leap</w:t>
            </w:r>
          </w:p>
        </w:tc>
        <w:tc>
          <w:tcPr>
            <w:tcW w:type="dxa" w:w="446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High technology shift rate, high market generation, high premium/mid tech adoption</w:t>
            </w:r>
          </w:p>
        </w:tc>
        <w:tc>
          <w:tcPr>
            <w:tcW w:type="dxa" w:w="432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Can win big when new technology matters, but weak timing or excess investment can hurt cash.</w:t>
            </w:r>
          </w:p>
        </w:tc>
      </w:tr>
      <w:tr>
        <w:tc>
          <w:tcPr>
            <w:tcW w:type="dxa" w:w="230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Aggressive growth</w:t>
            </w:r>
          </w:p>
        </w:tc>
        <w:tc>
          <w:tcPr>
            <w:tcW w:type="dxa" w:w="446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Demand boom, low material cost, low supply risk, high capacity reward</w:t>
            </w:r>
          </w:p>
        </w:tc>
        <w:tc>
          <w:tcPr>
            <w:tcW w:type="dxa" w:w="432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Can win if expansion meets real demand; can lose badly if demand is weaker than expected.</w:t>
            </w:r>
          </w:p>
        </w:tc>
      </w:tr>
      <w:tr>
        <w:tc>
          <w:tcPr>
            <w:tcW w:type="dxa" w:w="230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Low-cost volume</w:t>
            </w:r>
          </w:p>
        </w:tc>
        <w:tc>
          <w:tcPr>
            <w:tcW w:type="dxa" w:w="446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High beginner share, high beginner price pressure, low tech/quality sensitivity</w:t>
            </w:r>
          </w:p>
        </w:tc>
        <w:tc>
          <w:tcPr>
            <w:tcW w:type="dxa" w:w="432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Needs margin discipline. High sales do not guarantee profit if costs, defects, or inventory rise.</w:t>
            </w:r>
          </w:p>
        </w:tc>
      </w:tr>
    </w:tbl>
    <w:tbl>
      <w:tblPr>
        <w:tblW w:type="auto" w:w="0"/>
        <w:tblLayout w:type="autofit"/>
        <w:tblLook w:firstColumn="1" w:firstRow="1" w:lastColumn="0" w:lastRow="0" w:noHBand="0" w:noVBand="1" w:val="04A0"/>
      </w:tblPr>
      <w:tblGrid>
        <w:gridCol w:w="10656"/>
      </w:tblGrid>
      <w:tr>
        <w:tc>
          <w:tcPr>
            <w:tcW w:type="dxa" w:w="10656"/>
            <w:shd w:fill="EAF2FF"/>
            <w:tcBorders>
              <w:top w:val="single" w:sz="6" w:space="0" w:color="C8D5E8"/>
              <w:left w:val="single" w:sz="6" w:space="0" w:color="C8D5E8"/>
              <w:bottom w:val="single" w:sz="6" w:space="0" w:color="C8D5E8"/>
              <w:right w:val="single" w:sz="6" w:space="0" w:color="C8D5E8"/>
              <w:insideH w:val="single" w:sz="6" w:space="0" w:color="C8D5E8"/>
              <w:insideV w:val="single" w:sz="6" w:space="0" w:color="C8D5E8"/>
            </w:tcBorders>
          </w:tcPr>
          <w:p>
            <w:pPr>
              <w:spacing w:after="20"/>
            </w:pPr>
            <w:r>
              <w:rPr>
                <w:rFonts w:ascii="Aptos" w:hAnsi="Aptos" w:eastAsia="Aptos"/>
                <w:b/>
                <w:color w:val="1F2937"/>
                <w:sz w:val="18"/>
              </w:rPr>
              <w:t>Instructor Tip</w:t>
            </w:r>
          </w:p>
          <w:p>
            <w:pPr>
              <w:spacing w:after="0" w:line="245" w:lineRule="auto"/>
            </w:pPr>
            <w:r>
              <w:rPr>
                <w:rFonts w:ascii="Aptos" w:hAnsi="Aptos" w:eastAsia="Aptos"/>
                <w:sz w:val="17"/>
              </w:rPr>
              <w:t>Do not score only by profit every time. Use profit, service level, forecast accuracy, cash health, product lifecycle position, and innovation timing to prevent one strategy from feeling like the only correct answer.</w:t>
            </w:r>
          </w:p>
        </w:tc>
      </w:tr>
    </w:tbl>
    <w:p>
      <w:pPr>
        <w:pStyle w:val="Heading1"/>
      </w:pPr>
      <w:r>
        <w:t>4. Example Environment Recipes</w:t>
      </w:r>
    </w:p>
    <w:tbl>
      <w:tblPr>
        <w:tblStyle w:val="TableGrid"/>
        <w:tblW w:type="auto" w:w="0"/>
        <w:tblLayout w:type="autofit"/>
        <w:tblLook w:firstColumn="1" w:firstRow="1" w:lastColumn="0" w:lastRow="0" w:noHBand="0" w:noVBand="1" w:val="04A0"/>
      </w:tblPr>
      <w:tblGrid>
        <w:gridCol w:w="3552"/>
        <w:gridCol w:w="3552"/>
        <w:gridCol w:w="3552"/>
      </w:tblGrid>
      <w:tr>
        <w:tc>
          <w:tcPr>
            <w:tcW w:type="dxa" w:w="2232"/>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Scenario</w:t>
            </w:r>
          </w:p>
        </w:tc>
        <w:tc>
          <w:tcPr>
            <w:tcW w:type="dxa" w:w="5760"/>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Suggested settings</w:t>
            </w:r>
          </w:p>
        </w:tc>
        <w:tc>
          <w:tcPr>
            <w:tcW w:type="dxa" w:w="3024"/>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Main lesson</w:t>
            </w:r>
          </w:p>
        </w:tc>
      </w:tr>
      <w:tr>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Stable baseline</w:t>
            </w:r>
          </w:p>
        </w:tc>
        <w:tc>
          <w:tcPr>
            <w:tcW w:type="dxa" w:w="576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Demand 1,200-1,600; balanced shares; material cost 1.00; Moderate risk; quality 0.50-0.60; tech shift 0.10-0.20</w:t>
            </w:r>
          </w:p>
        </w:tc>
        <w:tc>
          <w:tcPr>
            <w:tcW w:type="dxa" w:w="302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Good first round. Compare basic strategy logic.</w:t>
            </w:r>
          </w:p>
        </w:tc>
      </w:tr>
      <w:tr>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Premium tech race</w:t>
            </w:r>
          </w:p>
        </w:tc>
        <w:tc>
          <w:tcPr>
            <w:tcW w:type="dxa" w:w="576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Premium share 0.40+; quality 0.75+; market Gen 3+; tech shift 0.30+; premium tech adoption 0.85+</w:t>
            </w:r>
          </w:p>
        </w:tc>
        <w:tc>
          <w:tcPr>
            <w:tcW w:type="dxa" w:w="302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Rewards premium quality and innovation timing.</w:t>
            </w:r>
          </w:p>
        </w:tc>
      </w:tr>
      <w:tr>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Price war / beginner boom</w:t>
            </w:r>
          </w:p>
        </w:tc>
        <w:tc>
          <w:tcPr>
            <w:tcW w:type="dxa" w:w="576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Beginner share 0.40+; beginner price pressure 0.80+; quality sensitivity 0.35-0.50; tech pressure low</w:t>
            </w:r>
          </w:p>
        </w:tc>
        <w:tc>
          <w:tcPr>
            <w:tcW w:type="dxa" w:w="302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Rewards low-cost volume if margins stay positive.</w:t>
            </w:r>
          </w:p>
        </w:tc>
      </w:tr>
      <w:tr>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Supply shock</w:t>
            </w:r>
          </w:p>
        </w:tc>
        <w:tc>
          <w:tcPr>
            <w:tcW w:type="dxa" w:w="576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Supply risk High; material cost 1.20+; quality sensitivity 0.60+; demand moderate</w:t>
            </w:r>
          </w:p>
        </w:tc>
        <w:tc>
          <w:tcPr>
            <w:tcW w:type="dxa" w:w="302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Rewards conservative sourcing, QC, and cash discipline.</w:t>
            </w:r>
          </w:p>
        </w:tc>
      </w:tr>
      <w:tr>
        <w:tc>
          <w:tcPr>
            <w:tcW w:type="dxa" w:w="223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Demand boom</w:t>
            </w:r>
          </w:p>
        </w:tc>
        <w:tc>
          <w:tcPr>
            <w:tcW w:type="dxa" w:w="5760"/>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Demand 2,000+; growth high; material cost near 0.90-1.00; supply risk Low/Moderate</w:t>
            </w:r>
          </w:p>
        </w:tc>
        <w:tc>
          <w:tcPr>
            <w:tcW w:type="dxa" w:w="3024"/>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Rewards capacity and production readiness, but still exposes cash mistakes.</w:t>
            </w:r>
          </w:p>
        </w:tc>
      </w:tr>
      <w:tr>
        <w:tc>
          <w:tcPr>
            <w:tcW w:type="dxa" w:w="223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Forecast volatility</w:t>
            </w:r>
          </w:p>
        </w:tc>
        <w:tc>
          <w:tcPr>
            <w:tcW w:type="dxa" w:w="5760"/>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Demand changes round to round; mixed shares; moderate costs; service sensitivity high</w:t>
            </w:r>
          </w:p>
        </w:tc>
        <w:tc>
          <w:tcPr>
            <w:tcW w:type="dxa" w:w="3024"/>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5"/>
              </w:rPr>
              <w:t>Rewards S&amp;OP discipline and realistic forecasts.</w:t>
            </w:r>
          </w:p>
        </w:tc>
      </w:tr>
    </w:tbl>
    <w:p>
      <w:pPr>
        <w:pStyle w:val="Heading1"/>
      </w:pPr>
      <w:r>
        <w:t>5. Practical Instructor Workflow</w:t>
      </w:r>
    </w:p>
    <w:tbl>
      <w:tblPr>
        <w:tblStyle w:val="TableGrid"/>
        <w:tblW w:type="auto" w:w="0"/>
        <w:tblLayout w:type="autofit"/>
        <w:tblLook w:firstColumn="1" w:firstRow="1" w:lastColumn="0" w:lastRow="0" w:noHBand="0" w:noVBand="1" w:val="04A0"/>
      </w:tblPr>
      <w:tblGrid>
        <w:gridCol w:w="3552"/>
        <w:gridCol w:w="3552"/>
        <w:gridCol w:w="3552"/>
      </w:tblGrid>
      <w:tr>
        <w:tc>
          <w:tcPr>
            <w:tcW w:type="dxa" w:w="648"/>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Step</w:t>
            </w:r>
          </w:p>
        </w:tc>
        <w:tc>
          <w:tcPr>
            <w:tcW w:type="dxa" w:w="3312"/>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Action</w:t>
            </w:r>
          </w:p>
        </w:tc>
        <w:tc>
          <w:tcPr>
            <w:tcW w:type="dxa" w:w="6912"/>
            <w:shd w:fill="1F2937"/>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spacing w:after="0" w:line="245" w:lineRule="auto"/>
            </w:pPr>
            <w:r/>
            <w:r>
              <w:rPr>
                <w:rFonts w:ascii="Aptos" w:hAnsi="Aptos" w:eastAsia="Aptos"/>
                <w:b/>
                <w:color w:val="FFFFFF"/>
                <w:sz w:val="16"/>
              </w:rPr>
              <w:t>Why it matters</w:t>
            </w:r>
          </w:p>
        </w:tc>
      </w:tr>
      <w:tr>
        <w:tc>
          <w:tcPr>
            <w:tcW w:type="dxa" w:w="64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1</w:t>
            </w:r>
          </w:p>
        </w:tc>
        <w:tc>
          <w:tcPr>
            <w:tcW w:type="dxa" w:w="33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Choose scenario or manually set factors</w:t>
            </w:r>
          </w:p>
        </w:tc>
        <w:tc>
          <w:tcPr>
            <w:tcW w:type="dxa" w:w="69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Make sure the numeric settings match the story you want students to experience.</w:t>
            </w:r>
          </w:p>
        </w:tc>
      </w:tr>
      <w:tr>
        <w:tc>
          <w:tcPr>
            <w:tcW w:type="dxa" w:w="64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2</w:t>
            </w:r>
          </w:p>
        </w:tc>
        <w:tc>
          <w:tcPr>
            <w:tcW w:type="dxa" w:w="33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Check segment shares</w:t>
            </w:r>
          </w:p>
        </w:tc>
        <w:tc>
          <w:tcPr>
            <w:tcW w:type="dxa" w:w="69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Premium + Mid + Beginner should be close to 1.00. If not, demand allocation becomes confusing.</w:t>
            </w:r>
          </w:p>
        </w:tc>
      </w:tr>
      <w:tr>
        <w:tc>
          <w:tcPr>
            <w:tcW w:type="dxa" w:w="64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3</w:t>
            </w:r>
          </w:p>
        </w:tc>
        <w:tc>
          <w:tcPr>
            <w:tcW w:type="dxa" w:w="33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Save Market Report</w:t>
            </w:r>
          </w:p>
        </w:tc>
        <w:tc>
          <w:tcPr>
            <w:tcW w:type="dxa" w:w="69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Students should make decisions only after the report is saved.</w:t>
            </w:r>
          </w:p>
        </w:tc>
      </w:tr>
      <w:tr>
        <w:tc>
          <w:tcPr>
            <w:tcW w:type="dxa" w:w="64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4</w:t>
            </w:r>
          </w:p>
        </w:tc>
        <w:tc>
          <w:tcPr>
            <w:tcW w:type="dxa" w:w="33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Open submissions</w:t>
            </w:r>
          </w:p>
        </w:tc>
        <w:tc>
          <w:tcPr>
            <w:tcW w:type="dxa" w:w="69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Teams read the report, forecast demand, choose production, sourcing, QC, inventory, and pipeline investment.</w:t>
            </w:r>
          </w:p>
        </w:tc>
      </w:tr>
      <w:tr>
        <w:tc>
          <w:tcPr>
            <w:tcW w:type="dxa" w:w="648"/>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5</w:t>
            </w:r>
          </w:p>
        </w:tc>
        <w:tc>
          <w:tcPr>
            <w:tcW w:type="dxa" w:w="33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Close submissions and validate</w:t>
            </w:r>
          </w:p>
        </w:tc>
        <w:tc>
          <w:tcPr>
            <w:tcW w:type="dxa" w:w="6912"/>
            <w:shd w:fill="FFFFFF"/>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Check missing forecasts, invalid supplier mix, infeasible production, and likely cash shortfalls.</w:t>
            </w:r>
          </w:p>
        </w:tc>
      </w:tr>
      <w:tr>
        <w:tc>
          <w:tcPr>
            <w:tcW w:type="dxa" w:w="648"/>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6</w:t>
            </w:r>
          </w:p>
        </w:tc>
        <w:tc>
          <w:tcPr>
            <w:tcW w:type="dxa" w:w="33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Run round and debrief</w:t>
            </w:r>
          </w:p>
        </w:tc>
        <w:tc>
          <w:tcPr>
            <w:tcW w:type="dxa" w:w="6912"/>
            <w:shd w:fill="FAFBFC"/>
            <w:tcBorders>
              <w:top w:val="single" w:sz="6" w:space="0" w:color="D9DEE7"/>
              <w:left w:val="single" w:sz="6" w:space="0" w:color="D9DEE7"/>
              <w:bottom w:val="single" w:sz="6" w:space="0" w:color="D9DEE7"/>
              <w:right w:val="single" w:sz="6" w:space="0" w:color="D9DEE7"/>
              <w:insideH w:val="single" w:sz="6" w:space="0" w:color="D9DEE7"/>
              <w:insideV w:val="single" w:sz="6" w:space="0" w:color="D9DEE7"/>
            </w:tcBorders>
            <w:vAlign w:val="center"/>
          </w:tcPr>
          <w:p>
            <w:pPr>
              <w:spacing w:after="0" w:line="245" w:lineRule="auto"/>
            </w:pPr>
            <w:r/>
            <w:r>
              <w:rPr>
                <w:rFonts w:ascii="Aptos" w:hAnsi="Aptos" w:eastAsia="Aptos"/>
                <w:b w:val="0"/>
                <w:color w:val="1F2937"/>
                <w:sz w:val="16"/>
              </w:rPr>
              <w:t>Discuss why the winning strategy won under this environment, not just who made the most money.</w:t>
            </w:r>
          </w:p>
        </w:tc>
      </w:tr>
    </w:tbl>
    <w:tbl>
      <w:tblPr>
        <w:tblW w:type="auto" w:w="0"/>
        <w:tblLayout w:type="autofit"/>
        <w:tblLook w:firstColumn="1" w:firstRow="1" w:lastColumn="0" w:lastRow="0" w:noHBand="0" w:noVBand="1" w:val="04A0"/>
      </w:tblPr>
      <w:tblGrid>
        <w:gridCol w:w="10656"/>
      </w:tblGrid>
      <w:tr>
        <w:tc>
          <w:tcPr>
            <w:tcW w:type="dxa" w:w="10656"/>
            <w:shd w:fill="FDECEC"/>
            <w:tcBorders>
              <w:top w:val="single" w:sz="6" w:space="0" w:color="C8D5E8"/>
              <w:left w:val="single" w:sz="6" w:space="0" w:color="C8D5E8"/>
              <w:bottom w:val="single" w:sz="6" w:space="0" w:color="C8D5E8"/>
              <w:right w:val="single" w:sz="6" w:space="0" w:color="C8D5E8"/>
              <w:insideH w:val="single" w:sz="6" w:space="0" w:color="C8D5E8"/>
              <w:insideV w:val="single" w:sz="6" w:space="0" w:color="C8D5E8"/>
            </w:tcBorders>
          </w:tcPr>
          <w:p>
            <w:pPr>
              <w:spacing w:after="20"/>
            </w:pPr>
            <w:r>
              <w:rPr>
                <w:rFonts w:ascii="Aptos" w:hAnsi="Aptos" w:eastAsia="Aptos"/>
                <w:b/>
                <w:color w:val="1F2937"/>
                <w:sz w:val="18"/>
              </w:rPr>
              <w:t>Important</w:t>
            </w:r>
          </w:p>
          <w:p>
            <w:pPr>
              <w:spacing w:after="0" w:line="245" w:lineRule="auto"/>
            </w:pPr>
            <w:r>
              <w:rPr>
                <w:rFonts w:ascii="Aptos" w:hAnsi="Aptos" w:eastAsia="Aptos"/>
                <w:sz w:val="17"/>
              </w:rPr>
              <w:t>Students should use the hosted classroom URL, not localhost. Localhost only works on the computer running the app. For class deployment, use the Render URL and instructor-created accounts.</w:t>
            </w:r>
          </w:p>
        </w:tc>
      </w:tr>
    </w:tbl>
    <w:p>
      <w:pPr>
        <w:pStyle w:val="Heading1"/>
      </w:pPr>
      <w:r>
        <w:rPr>
          <w:color w:val="1F2937"/>
        </w:rPr>
        <w:t>6. Debrief Questions For This Market</w:t>
      </w:r>
    </w:p>
    <w:tbl>
      <w:tblPr>
        <w:tblStyle w:val="TableGrid"/>
        <w:tblW w:type="auto" w:w="0"/>
        <w:tblLook w:firstColumn="1" w:firstRow="1" w:lastColumn="0" w:lastRow="0" w:noHBand="0" w:noVBand="1" w:val="04A0"/>
      </w:tblPr>
      <w:tblGrid>
        <w:gridCol w:w="5328"/>
        <w:gridCol w:w="5328"/>
      </w:tblGrid>
      <w:tr>
        <w:tc>
          <w:tcPr>
            <w:tcW w:type="dxa" w:w="5328"/>
            <w:shd w:fill="1F2937"/>
            <w:vAlign w:val="center"/>
          </w:tcPr>
          <w:p>
            <w:pPr>
              <w:spacing w:after="0"/>
            </w:pPr>
            <w:r/>
            <w:r>
              <w:rPr>
                <w:rFonts w:ascii="Aptos" w:hAnsi="Aptos" w:eastAsia="Aptos"/>
                <w:b/>
                <w:color w:val="FFFFFF"/>
                <w:sz w:val="17"/>
              </w:rPr>
              <w:t>Discussion angle</w:t>
            </w:r>
          </w:p>
        </w:tc>
        <w:tc>
          <w:tcPr>
            <w:tcW w:type="dxa" w:w="5328"/>
            <w:shd w:fill="1F2937"/>
            <w:vAlign w:val="center"/>
          </w:tcPr>
          <w:p>
            <w:pPr>
              <w:spacing w:after="0"/>
            </w:pPr>
            <w:r/>
            <w:r>
              <w:rPr>
                <w:rFonts w:ascii="Aptos" w:hAnsi="Aptos" w:eastAsia="Aptos"/>
                <w:b/>
                <w:color w:val="FFFFFF"/>
                <w:sz w:val="17"/>
              </w:rPr>
              <w:t>Question to ask students</w:t>
            </w:r>
          </w:p>
        </w:tc>
      </w:tr>
      <w:tr>
        <w:tc>
          <w:tcPr>
            <w:tcW w:type="dxa" w:w="5328"/>
            <w:vAlign w:val="center"/>
          </w:tcPr>
          <w:p>
            <w:pPr>
              <w:spacing w:after="0" w:line="240" w:lineRule="auto"/>
            </w:pPr>
            <w:r/>
            <w:r>
              <w:rPr>
                <w:rFonts w:ascii="Aptos" w:hAnsi="Aptos" w:eastAsia="Aptos"/>
                <w:b/>
                <w:color w:val="1F2937"/>
                <w:sz w:val="16"/>
              </w:rPr>
              <w:t>Strategy fit</w:t>
            </w:r>
          </w:p>
        </w:tc>
        <w:tc>
          <w:tcPr>
            <w:tcW w:type="dxa" w:w="5328"/>
            <w:vAlign w:val="center"/>
          </w:tcPr>
          <w:p>
            <w:pPr>
              <w:spacing w:after="0" w:line="240" w:lineRule="auto"/>
            </w:pPr>
            <w:r/>
            <w:r>
              <w:rPr>
                <w:rFonts w:ascii="Aptos" w:hAnsi="Aptos" w:eastAsia="Aptos"/>
                <w:color w:val="1F2937"/>
                <w:sz w:val="16"/>
              </w:rPr>
              <w:t>Which strategy should benefit most from high premium/mid demand and cheaper materials?</w:t>
            </w:r>
          </w:p>
        </w:tc>
      </w:tr>
      <w:tr>
        <w:tc>
          <w:tcPr>
            <w:tcW w:type="dxa" w:w="5328"/>
            <w:vAlign w:val="center"/>
          </w:tcPr>
          <w:p>
            <w:pPr>
              <w:spacing w:after="0" w:line="240" w:lineRule="auto"/>
            </w:pPr>
            <w:r/>
            <w:r>
              <w:rPr>
                <w:rFonts w:ascii="Aptos" w:hAnsi="Aptos" w:eastAsia="Aptos"/>
                <w:b/>
                <w:color w:val="1F2937"/>
                <w:sz w:val="16"/>
              </w:rPr>
              <w:t>Planning discipline</w:t>
            </w:r>
          </w:p>
        </w:tc>
        <w:tc>
          <w:tcPr>
            <w:tcW w:type="dxa" w:w="5328"/>
            <w:vAlign w:val="center"/>
          </w:tcPr>
          <w:p>
            <w:pPr>
              <w:spacing w:after="0" w:line="240" w:lineRule="auto"/>
            </w:pPr>
            <w:r/>
            <w:r>
              <w:rPr>
                <w:rFonts w:ascii="Aptos" w:hAnsi="Aptos" w:eastAsia="Aptos"/>
                <w:color w:val="1F2937"/>
                <w:sz w:val="16"/>
              </w:rPr>
              <w:t>Did teams forecast close to actual demand, or did they overbuild inventory?</w:t>
            </w:r>
          </w:p>
        </w:tc>
      </w:tr>
      <w:tr>
        <w:tc>
          <w:tcPr>
            <w:tcW w:type="dxa" w:w="5328"/>
            <w:vAlign w:val="center"/>
          </w:tcPr>
          <w:p>
            <w:pPr>
              <w:spacing w:after="0" w:line="240" w:lineRule="auto"/>
            </w:pPr>
            <w:r/>
            <w:r>
              <w:rPr>
                <w:rFonts w:ascii="Aptos" w:hAnsi="Aptos" w:eastAsia="Aptos"/>
                <w:b/>
                <w:color w:val="1F2937"/>
                <w:sz w:val="16"/>
              </w:rPr>
              <w:t>Technology</w:t>
            </w:r>
          </w:p>
        </w:tc>
        <w:tc>
          <w:tcPr>
            <w:tcW w:type="dxa" w:w="5328"/>
            <w:vAlign w:val="center"/>
          </w:tcPr>
          <w:p>
            <w:pPr>
              <w:spacing w:after="0" w:line="240" w:lineRule="auto"/>
            </w:pPr>
            <w:r/>
            <w:r>
              <w:rPr>
                <w:rFonts w:ascii="Aptos" w:hAnsi="Aptos" w:eastAsia="Aptos"/>
                <w:color w:val="1F2937"/>
                <w:sz w:val="16"/>
              </w:rPr>
              <w:t>Did Gen 2/Gen 3 products outperform older products under moderate tech pressure?</w:t>
            </w:r>
          </w:p>
        </w:tc>
      </w:tr>
      <w:tr>
        <w:tc>
          <w:tcPr>
            <w:tcW w:type="dxa" w:w="5328"/>
            <w:vAlign w:val="center"/>
          </w:tcPr>
          <w:p>
            <w:pPr>
              <w:spacing w:after="0" w:line="240" w:lineRule="auto"/>
            </w:pPr>
            <w:r/>
            <w:r>
              <w:rPr>
                <w:rFonts w:ascii="Aptos" w:hAnsi="Aptos" w:eastAsia="Aptos"/>
                <w:b/>
                <w:color w:val="1F2937"/>
                <w:sz w:val="16"/>
              </w:rPr>
              <w:t>Cash</w:t>
            </w:r>
          </w:p>
        </w:tc>
        <w:tc>
          <w:tcPr>
            <w:tcW w:type="dxa" w:w="5328"/>
            <w:vAlign w:val="center"/>
          </w:tcPr>
          <w:p>
            <w:pPr>
              <w:spacing w:after="0" w:line="240" w:lineRule="auto"/>
            </w:pPr>
            <w:r/>
            <w:r>
              <w:rPr>
                <w:rFonts w:ascii="Aptos" w:hAnsi="Aptos" w:eastAsia="Aptos"/>
                <w:color w:val="1F2937"/>
                <w:sz w:val="16"/>
              </w:rPr>
              <w:t>Did any team chase demand but create debt or liquidity pressure?</w:t>
            </w:r>
          </w:p>
        </w:tc>
      </w:tr>
      <w:tr>
        <w:tc>
          <w:tcPr>
            <w:tcW w:type="dxa" w:w="5328"/>
            <w:vAlign w:val="center"/>
          </w:tcPr>
          <w:p>
            <w:pPr>
              <w:spacing w:after="0" w:line="240" w:lineRule="auto"/>
            </w:pPr>
            <w:r/>
            <w:r>
              <w:rPr>
                <w:rFonts w:ascii="Aptos" w:hAnsi="Aptos" w:eastAsia="Aptos"/>
                <w:b/>
                <w:color w:val="1F2937"/>
                <w:sz w:val="16"/>
              </w:rPr>
              <w:t>Quality</w:t>
            </w:r>
          </w:p>
        </w:tc>
        <w:tc>
          <w:tcPr>
            <w:tcW w:type="dxa" w:w="5328"/>
            <w:vAlign w:val="center"/>
          </w:tcPr>
          <w:p>
            <w:pPr>
              <w:spacing w:after="0" w:line="240" w:lineRule="auto"/>
            </w:pPr>
            <w:r/>
            <w:r>
              <w:rPr>
                <w:rFonts w:ascii="Aptos" w:hAnsi="Aptos" w:eastAsia="Aptos"/>
                <w:color w:val="1F2937"/>
                <w:sz w:val="16"/>
              </w:rPr>
              <w:t>Was QC spend high enough to protect reputation without destroying margin?</w:t>
            </w:r>
          </w:p>
        </w:tc>
      </w:tr>
    </w:tbl>
    <w:p>
      <w:pPr>
        <w:spacing w:before="60"/>
        <w:jc w:val="center"/>
      </w:pPr>
      <w:r>
        <w:rPr>
          <w:rFonts w:ascii="Aptos" w:hAnsi="Aptos" w:eastAsia="Aptos"/>
          <w:color w:val="6B7280"/>
          <w:sz w:val="16"/>
        </w:rPr>
        <w:t>Prepared for classroom use with the Pickleball Paddle Market Simulator. Factors are deterministic model controls, not hidden AI decisions.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w:hAnsi="Aptos" w:eastAsia="Aptos"/>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eastAsia="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